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9D7" w:rsidRPr="00542064" w:rsidRDefault="00C529D7" w:rsidP="00C529D7">
      <w:pPr>
        <w:widowControl w:val="0"/>
        <w:autoSpaceDE w:val="0"/>
        <w:autoSpaceDN w:val="0"/>
        <w:adjustRightInd w:val="0"/>
        <w:jc w:val="center"/>
        <w:rPr>
          <w:b/>
          <w:sz w:val="20"/>
          <w:szCs w:val="20"/>
        </w:rPr>
      </w:pPr>
      <w:r w:rsidRPr="00C529D7">
        <w:rPr>
          <w:b/>
          <w:bCs/>
          <w:sz w:val="32"/>
          <w:szCs w:val="20"/>
        </w:rPr>
        <w:t>Time Varying Stock Market Volatility: The Case of an Emerging Market</w:t>
      </w:r>
    </w:p>
    <w:p w:rsidR="00C529D7" w:rsidRPr="00C529D7" w:rsidRDefault="00C529D7" w:rsidP="00C529D7">
      <w:pPr>
        <w:widowControl w:val="0"/>
        <w:autoSpaceDE w:val="0"/>
        <w:autoSpaceDN w:val="0"/>
        <w:adjustRightInd w:val="0"/>
        <w:jc w:val="center"/>
        <w:rPr>
          <w:b/>
          <w:sz w:val="12"/>
          <w:szCs w:val="20"/>
        </w:rPr>
      </w:pPr>
    </w:p>
    <w:p w:rsidR="00C529D7" w:rsidRPr="00542064" w:rsidRDefault="00C529D7" w:rsidP="00C529D7">
      <w:pPr>
        <w:widowControl w:val="0"/>
        <w:autoSpaceDE w:val="0"/>
        <w:autoSpaceDN w:val="0"/>
        <w:adjustRightInd w:val="0"/>
        <w:jc w:val="center"/>
        <w:rPr>
          <w:b/>
          <w:sz w:val="20"/>
          <w:szCs w:val="20"/>
        </w:rPr>
      </w:pPr>
      <w:r w:rsidRPr="00542064">
        <w:rPr>
          <w:b/>
          <w:sz w:val="20"/>
          <w:szCs w:val="20"/>
        </w:rPr>
        <w:t>Mirza Nawazish</w:t>
      </w:r>
      <w:r w:rsidRPr="00542064">
        <w:rPr>
          <w:b/>
          <w:sz w:val="20"/>
          <w:szCs w:val="20"/>
          <w:vertAlign w:val="superscript"/>
        </w:rPr>
        <w:t>1</w:t>
      </w:r>
      <w:r w:rsidRPr="00542064">
        <w:rPr>
          <w:b/>
          <w:sz w:val="20"/>
          <w:szCs w:val="20"/>
        </w:rPr>
        <w:t xml:space="preserve"> and Saeed Mawal Sara</w:t>
      </w:r>
      <w:r w:rsidRPr="00542064">
        <w:rPr>
          <w:b/>
          <w:sz w:val="20"/>
          <w:szCs w:val="20"/>
          <w:vertAlign w:val="superscript"/>
        </w:rPr>
        <w:t>2</w:t>
      </w:r>
    </w:p>
    <w:p w:rsidR="00C529D7" w:rsidRPr="00C529D7" w:rsidRDefault="00C529D7" w:rsidP="00C529D7">
      <w:pPr>
        <w:widowControl w:val="0"/>
        <w:autoSpaceDE w:val="0"/>
        <w:autoSpaceDN w:val="0"/>
        <w:adjustRightInd w:val="0"/>
        <w:jc w:val="center"/>
        <w:rPr>
          <w:sz w:val="18"/>
          <w:szCs w:val="20"/>
        </w:rPr>
      </w:pPr>
      <w:r w:rsidRPr="00C529D7">
        <w:rPr>
          <w:sz w:val="18"/>
          <w:szCs w:val="20"/>
          <w:vertAlign w:val="superscript"/>
        </w:rPr>
        <w:t>1</w:t>
      </w:r>
      <w:r w:rsidRPr="00C529D7">
        <w:rPr>
          <w:sz w:val="18"/>
          <w:szCs w:val="20"/>
        </w:rPr>
        <w:t xml:space="preserve">Lahore School of Economics, PAKISTAN </w:t>
      </w:r>
    </w:p>
    <w:p w:rsidR="00185F01" w:rsidRPr="00C529D7" w:rsidRDefault="00C529D7" w:rsidP="00C529D7">
      <w:pPr>
        <w:jc w:val="center"/>
        <w:rPr>
          <w:color w:val="000000"/>
          <w:sz w:val="18"/>
          <w:szCs w:val="20"/>
        </w:rPr>
      </w:pPr>
      <w:r w:rsidRPr="00C529D7">
        <w:rPr>
          <w:sz w:val="18"/>
          <w:szCs w:val="20"/>
          <w:vertAlign w:val="superscript"/>
        </w:rPr>
        <w:t>2</w:t>
      </w:r>
      <w:r w:rsidRPr="00C529D7">
        <w:rPr>
          <w:sz w:val="18"/>
          <w:szCs w:val="20"/>
        </w:rPr>
        <w:t>Teaching Fellow, Lahore School of Economics, PAKISTAN</w:t>
      </w:r>
    </w:p>
    <w:p w:rsidR="007B4065" w:rsidRPr="00C529D7" w:rsidRDefault="007B4065" w:rsidP="008857A6">
      <w:pPr>
        <w:pStyle w:val="NoSpacing"/>
        <w:jc w:val="center"/>
        <w:rPr>
          <w:rFonts w:ascii="Times New Roman" w:hAnsi="Times New Roman"/>
          <w:b/>
          <w:sz w:val="10"/>
          <w:szCs w:val="20"/>
          <w:lang w:val="it-IT"/>
        </w:rPr>
      </w:pPr>
    </w:p>
    <w:p w:rsidR="00CA20F2" w:rsidRPr="00AE51B9" w:rsidRDefault="00CA20F2" w:rsidP="00CA20F2">
      <w:pPr>
        <w:pStyle w:val="NoSpacing"/>
        <w:jc w:val="center"/>
        <w:rPr>
          <w:rFonts w:ascii="Times New Roman" w:hAnsi="Times New Roman"/>
          <w:b/>
          <w:sz w:val="20"/>
          <w:szCs w:val="20"/>
          <w:lang w:val="it-IT"/>
        </w:rPr>
      </w:pPr>
      <w:r w:rsidRPr="00AE51B9">
        <w:rPr>
          <w:rFonts w:ascii="Times New Roman" w:hAnsi="Times New Roman"/>
          <w:b/>
          <w:sz w:val="20"/>
          <w:szCs w:val="20"/>
          <w:lang w:val="it-IT"/>
        </w:rPr>
        <w:t xml:space="preserve">Available online at: </w:t>
      </w:r>
      <w:hyperlink r:id="rId8" w:history="1">
        <w:r w:rsidRPr="00AE51B9">
          <w:rPr>
            <w:rStyle w:val="Hyperlink"/>
            <w:rFonts w:ascii="Times New Roman" w:hAnsi="Times New Roman"/>
            <w:b/>
            <w:sz w:val="20"/>
            <w:szCs w:val="20"/>
            <w:lang w:val="it-IT"/>
          </w:rPr>
          <w:t>www.isca.in</w:t>
        </w:r>
      </w:hyperlink>
    </w:p>
    <w:p w:rsidR="00CA20F2" w:rsidRPr="00AE51B9" w:rsidRDefault="00CA20F2" w:rsidP="00CA20F2">
      <w:pPr>
        <w:pStyle w:val="NoSpacing"/>
        <w:jc w:val="center"/>
        <w:rPr>
          <w:sz w:val="18"/>
          <w:szCs w:val="20"/>
        </w:rPr>
      </w:pPr>
      <w:r w:rsidRPr="00AE51B9">
        <w:rPr>
          <w:rFonts w:ascii="Times New Roman" w:hAnsi="Times New Roman"/>
          <w:sz w:val="18"/>
          <w:szCs w:val="20"/>
          <w:lang w:val="it-IT"/>
        </w:rPr>
        <w:t xml:space="preserve">Received </w:t>
      </w:r>
      <w:r w:rsidR="00C529D7">
        <w:rPr>
          <w:rFonts w:ascii="Times New Roman" w:hAnsi="Times New Roman"/>
          <w:sz w:val="18"/>
          <w:szCs w:val="20"/>
          <w:lang w:val="it-IT"/>
        </w:rPr>
        <w:t>19</w:t>
      </w:r>
      <w:r w:rsidR="0008470B">
        <w:rPr>
          <w:rFonts w:ascii="Times New Roman" w:hAnsi="Times New Roman"/>
          <w:sz w:val="18"/>
          <w:szCs w:val="20"/>
          <w:vertAlign w:val="superscript"/>
          <w:lang w:val="it-IT"/>
        </w:rPr>
        <w:t>th</w:t>
      </w:r>
      <w:r w:rsidR="00EF24CE">
        <w:rPr>
          <w:rFonts w:ascii="Times New Roman" w:hAnsi="Times New Roman"/>
          <w:sz w:val="18"/>
          <w:szCs w:val="20"/>
          <w:lang w:val="it-IT"/>
        </w:rPr>
        <w:t xml:space="preserve"> </w:t>
      </w:r>
      <w:r w:rsidR="0008470B">
        <w:rPr>
          <w:rFonts w:ascii="Times New Roman" w:hAnsi="Times New Roman"/>
          <w:sz w:val="18"/>
          <w:szCs w:val="20"/>
          <w:lang w:val="it-IT"/>
        </w:rPr>
        <w:t xml:space="preserve">September </w:t>
      </w:r>
      <w:r>
        <w:rPr>
          <w:rFonts w:ascii="Times New Roman" w:hAnsi="Times New Roman"/>
          <w:sz w:val="18"/>
          <w:szCs w:val="20"/>
          <w:lang w:val="it-IT"/>
        </w:rPr>
        <w:t>2012</w:t>
      </w:r>
      <w:r w:rsidRPr="00AE51B9">
        <w:rPr>
          <w:rFonts w:ascii="Times New Roman" w:hAnsi="Times New Roman"/>
          <w:sz w:val="18"/>
          <w:szCs w:val="20"/>
          <w:lang w:val="it-IT"/>
        </w:rPr>
        <w:t>, revised</w:t>
      </w:r>
      <w:r w:rsidR="007418F4">
        <w:rPr>
          <w:rFonts w:ascii="Times New Roman" w:hAnsi="Times New Roman"/>
          <w:sz w:val="18"/>
          <w:szCs w:val="20"/>
          <w:lang w:val="it-IT"/>
        </w:rPr>
        <w:t xml:space="preserve"> 2</w:t>
      </w:r>
      <w:r w:rsidR="00D9005B">
        <w:rPr>
          <w:rFonts w:ascii="Times New Roman" w:hAnsi="Times New Roman"/>
          <w:sz w:val="18"/>
          <w:szCs w:val="20"/>
          <w:lang w:val="it-IT"/>
        </w:rPr>
        <w:t>6</w:t>
      </w:r>
      <w:r w:rsidR="007418F4" w:rsidRPr="007418F4">
        <w:rPr>
          <w:rFonts w:ascii="Times New Roman" w:hAnsi="Times New Roman"/>
          <w:sz w:val="18"/>
          <w:szCs w:val="20"/>
          <w:vertAlign w:val="superscript"/>
          <w:lang w:val="it-IT"/>
        </w:rPr>
        <w:t>th</w:t>
      </w:r>
      <w:r w:rsidR="007418F4">
        <w:rPr>
          <w:rFonts w:ascii="Times New Roman" w:hAnsi="Times New Roman"/>
          <w:sz w:val="18"/>
          <w:szCs w:val="20"/>
          <w:lang w:val="it-IT"/>
        </w:rPr>
        <w:t xml:space="preserve"> September </w:t>
      </w:r>
      <w:r>
        <w:rPr>
          <w:rFonts w:ascii="Times New Roman" w:hAnsi="Times New Roman"/>
          <w:sz w:val="18"/>
          <w:szCs w:val="20"/>
          <w:lang w:val="it-IT"/>
        </w:rPr>
        <w:t>2012</w:t>
      </w:r>
      <w:r w:rsidRPr="00AE51B9">
        <w:rPr>
          <w:rFonts w:ascii="Times New Roman" w:hAnsi="Times New Roman"/>
          <w:sz w:val="18"/>
          <w:szCs w:val="20"/>
          <w:lang w:val="it-IT"/>
        </w:rPr>
        <w:t>, accepted</w:t>
      </w:r>
      <w:r w:rsidR="007418F4">
        <w:rPr>
          <w:rFonts w:ascii="Times New Roman" w:hAnsi="Times New Roman"/>
          <w:sz w:val="18"/>
          <w:szCs w:val="20"/>
          <w:lang w:val="it-IT"/>
        </w:rPr>
        <w:t xml:space="preserve"> 2</w:t>
      </w:r>
      <w:r w:rsidR="00D9005B">
        <w:rPr>
          <w:rFonts w:ascii="Times New Roman" w:hAnsi="Times New Roman"/>
          <w:sz w:val="18"/>
          <w:szCs w:val="20"/>
          <w:lang w:val="it-IT"/>
        </w:rPr>
        <w:t>9</w:t>
      </w:r>
      <w:r w:rsidR="00D9005B">
        <w:rPr>
          <w:rFonts w:ascii="Times New Roman" w:hAnsi="Times New Roman"/>
          <w:sz w:val="18"/>
          <w:szCs w:val="20"/>
          <w:vertAlign w:val="superscript"/>
          <w:lang w:val="it-IT"/>
        </w:rPr>
        <w:t>th</w:t>
      </w:r>
      <w:r w:rsidR="007418F4">
        <w:rPr>
          <w:rFonts w:ascii="Times New Roman" w:hAnsi="Times New Roman"/>
          <w:sz w:val="18"/>
          <w:szCs w:val="20"/>
          <w:lang w:val="it-IT"/>
        </w:rPr>
        <w:t xml:space="preserve"> September</w:t>
      </w:r>
      <w:r w:rsidR="00482706">
        <w:rPr>
          <w:rFonts w:ascii="Times New Roman" w:hAnsi="Times New Roman"/>
          <w:sz w:val="18"/>
          <w:szCs w:val="20"/>
          <w:lang w:val="it-IT"/>
        </w:rPr>
        <w:t xml:space="preserve"> </w:t>
      </w:r>
      <w:r w:rsidR="008F3DEB">
        <w:rPr>
          <w:rFonts w:ascii="Times New Roman" w:hAnsi="Times New Roman"/>
          <w:sz w:val="18"/>
          <w:szCs w:val="20"/>
          <w:lang w:val="it-IT"/>
        </w:rPr>
        <w:t>2012</w:t>
      </w:r>
    </w:p>
    <w:p w:rsidR="0012594F" w:rsidRDefault="00FE5A31" w:rsidP="0012594F">
      <w:pPr>
        <w:jc w:val="both"/>
        <w:rPr>
          <w:b/>
          <w:sz w:val="2"/>
          <w:szCs w:val="20"/>
        </w:rPr>
      </w:pPr>
      <w:r w:rsidRPr="00FE5A31">
        <w:rPr>
          <w:b/>
          <w:sz w:val="2"/>
          <w:szCs w:val="20"/>
        </w:rPr>
        <w:pict>
          <v:shapetype id="_x0000_t32" coordsize="21600,21600" o:spt="32" o:oned="t" path="m,l21600,21600e" filled="f">
            <v:path arrowok="t" fillok="f" o:connecttype="none"/>
            <o:lock v:ext="edit" shapetype="t"/>
          </v:shapetype>
          <v:shape id="_x0000_s1030" type="#_x0000_t32" style="position:absolute;left:0;text-align:left;margin-left:-3.8pt;margin-top:.7pt;width:541.55pt;height:0;z-index:251658240" o:connectortype="straight"/>
        </w:pict>
      </w:r>
    </w:p>
    <w:p w:rsidR="005B6595" w:rsidRDefault="005B6595" w:rsidP="0012594F">
      <w:pPr>
        <w:jc w:val="both"/>
        <w:rPr>
          <w:b/>
          <w:sz w:val="2"/>
          <w:szCs w:val="20"/>
        </w:rPr>
      </w:pPr>
    </w:p>
    <w:p w:rsidR="005B6595" w:rsidRPr="0084144B" w:rsidRDefault="005B6595" w:rsidP="0012594F">
      <w:pPr>
        <w:jc w:val="both"/>
        <w:rPr>
          <w:b/>
          <w:sz w:val="2"/>
          <w:szCs w:val="20"/>
        </w:rPr>
      </w:pPr>
    </w:p>
    <w:p w:rsidR="00B94775" w:rsidRPr="00B94775" w:rsidRDefault="00B94775" w:rsidP="002C78AF">
      <w:pPr>
        <w:pStyle w:val="TitleArticle"/>
        <w:spacing w:before="0" w:after="0"/>
        <w:ind w:left="284" w:right="236"/>
        <w:jc w:val="both"/>
        <w:rPr>
          <w:caps w:val="0"/>
          <w:color w:val="000000"/>
          <w:sz w:val="20"/>
          <w:lang w:val="en-US"/>
        </w:rPr>
      </w:pPr>
      <w:r w:rsidRPr="00B94775">
        <w:rPr>
          <w:caps w:val="0"/>
          <w:color w:val="000000"/>
          <w:sz w:val="24"/>
          <w:lang w:val="en-US"/>
        </w:rPr>
        <w:t>Abstract</w:t>
      </w:r>
      <w:r w:rsidRPr="00B94775">
        <w:rPr>
          <w:caps w:val="0"/>
          <w:color w:val="000000"/>
          <w:sz w:val="20"/>
          <w:lang w:val="en-US"/>
        </w:rPr>
        <w:t xml:space="preserve"> </w:t>
      </w:r>
    </w:p>
    <w:p w:rsidR="00C529D7" w:rsidRDefault="00C529D7" w:rsidP="002C78AF">
      <w:pPr>
        <w:widowControl w:val="0"/>
        <w:autoSpaceDE w:val="0"/>
        <w:autoSpaceDN w:val="0"/>
        <w:adjustRightInd w:val="0"/>
        <w:ind w:left="284" w:right="236"/>
        <w:jc w:val="both"/>
        <w:rPr>
          <w:i/>
          <w:sz w:val="20"/>
          <w:szCs w:val="20"/>
        </w:rPr>
      </w:pPr>
      <w:r w:rsidRPr="00542064">
        <w:rPr>
          <w:i/>
          <w:sz w:val="20"/>
          <w:szCs w:val="20"/>
        </w:rPr>
        <w:t>One of the key determinants for investment in financial markets is the tradeoff between risk and expected returns. While returns are relatively easy to quantify, the risk measurement has always posed challenges for investors. Engle’s (1982) proposition of time varying volatility has seriously challenged the use of standard deviation as a static estimate of risk. This phenomenon is more severe in emerging markets where stock prices are far from Gaussian world. In this paper, we examine the volatility patterns in Karachi Stock Exchange using GARCH framework between 2004 and 2012. We report that a period which witnessed significant growth vis-à-vis market capitalization and trading volumes, volatility clustering was obvious. This implies that all estimates of risk in this period based on standard deviations must be flawed and would have understated the actual risk. This has serious implications because risk assessment plays a vital role in estimating cost of capital, firm valuations and capital budgeting. Based on our finding, we propose that higher order moments of returns should be considered for prudent risk assessment.</w:t>
      </w:r>
    </w:p>
    <w:p w:rsidR="00C529D7" w:rsidRPr="006D3DDF" w:rsidRDefault="00C529D7" w:rsidP="002C78AF">
      <w:pPr>
        <w:widowControl w:val="0"/>
        <w:autoSpaceDE w:val="0"/>
        <w:autoSpaceDN w:val="0"/>
        <w:adjustRightInd w:val="0"/>
        <w:ind w:left="284" w:right="236"/>
        <w:jc w:val="both"/>
        <w:rPr>
          <w:i/>
          <w:sz w:val="14"/>
          <w:szCs w:val="20"/>
        </w:rPr>
      </w:pPr>
    </w:p>
    <w:p w:rsidR="0099660B" w:rsidRPr="00EB0556" w:rsidRDefault="00C529D7" w:rsidP="002C78AF">
      <w:pPr>
        <w:ind w:left="284" w:right="236"/>
        <w:jc w:val="both"/>
        <w:rPr>
          <w:sz w:val="20"/>
          <w:szCs w:val="20"/>
        </w:rPr>
      </w:pPr>
      <w:r w:rsidRPr="00542064">
        <w:rPr>
          <w:b/>
          <w:sz w:val="20"/>
          <w:szCs w:val="20"/>
        </w:rPr>
        <w:t>Keywords:</w:t>
      </w:r>
      <w:r w:rsidRPr="00542064">
        <w:rPr>
          <w:sz w:val="20"/>
          <w:szCs w:val="20"/>
        </w:rPr>
        <w:t xml:space="preserve"> Volatility </w:t>
      </w:r>
      <w:r>
        <w:rPr>
          <w:sz w:val="20"/>
          <w:szCs w:val="20"/>
        </w:rPr>
        <w:t>c</w:t>
      </w:r>
      <w:r w:rsidRPr="00542064">
        <w:rPr>
          <w:sz w:val="20"/>
          <w:szCs w:val="20"/>
        </w:rPr>
        <w:t xml:space="preserve">lustering, </w:t>
      </w:r>
      <w:r>
        <w:rPr>
          <w:sz w:val="20"/>
          <w:szCs w:val="20"/>
        </w:rPr>
        <w:t>a</w:t>
      </w:r>
      <w:r w:rsidRPr="00542064">
        <w:rPr>
          <w:sz w:val="20"/>
          <w:szCs w:val="20"/>
        </w:rPr>
        <w:t xml:space="preserve">utoregressive </w:t>
      </w:r>
      <w:r>
        <w:rPr>
          <w:sz w:val="20"/>
          <w:szCs w:val="20"/>
        </w:rPr>
        <w:t>h</w:t>
      </w:r>
      <w:r w:rsidRPr="00542064">
        <w:rPr>
          <w:sz w:val="20"/>
          <w:szCs w:val="20"/>
        </w:rPr>
        <w:t>eteroscedasticity</w:t>
      </w:r>
      <w:r w:rsidR="00BE39FD">
        <w:rPr>
          <w:sz w:val="20"/>
          <w:szCs w:val="20"/>
        </w:rPr>
        <w:t>,</w:t>
      </w:r>
      <w:r w:rsidRPr="00542064">
        <w:rPr>
          <w:sz w:val="20"/>
          <w:szCs w:val="20"/>
        </w:rPr>
        <w:t xml:space="preserve"> </w:t>
      </w:r>
      <w:r>
        <w:rPr>
          <w:sz w:val="20"/>
          <w:szCs w:val="20"/>
        </w:rPr>
        <w:t>e</w:t>
      </w:r>
      <w:r w:rsidRPr="00542064">
        <w:rPr>
          <w:sz w:val="20"/>
          <w:szCs w:val="20"/>
        </w:rPr>
        <w:t xml:space="preserve">merging </w:t>
      </w:r>
      <w:r>
        <w:rPr>
          <w:sz w:val="20"/>
          <w:szCs w:val="20"/>
        </w:rPr>
        <w:t>m</w:t>
      </w:r>
      <w:r w:rsidRPr="00542064">
        <w:rPr>
          <w:sz w:val="20"/>
          <w:szCs w:val="20"/>
        </w:rPr>
        <w:t xml:space="preserve">arkets, Karachi </w:t>
      </w:r>
      <w:r>
        <w:rPr>
          <w:sz w:val="20"/>
          <w:szCs w:val="20"/>
        </w:rPr>
        <w:t>s</w:t>
      </w:r>
      <w:r w:rsidRPr="00542064">
        <w:rPr>
          <w:sz w:val="20"/>
          <w:szCs w:val="20"/>
        </w:rPr>
        <w:t xml:space="preserve">tock </w:t>
      </w:r>
      <w:r>
        <w:rPr>
          <w:sz w:val="20"/>
          <w:szCs w:val="20"/>
        </w:rPr>
        <w:t>e</w:t>
      </w:r>
      <w:r w:rsidRPr="00542064">
        <w:rPr>
          <w:sz w:val="20"/>
          <w:szCs w:val="20"/>
        </w:rPr>
        <w:t>xchange</w:t>
      </w:r>
      <w:r>
        <w:rPr>
          <w:sz w:val="20"/>
          <w:szCs w:val="20"/>
        </w:rPr>
        <w:t>.</w:t>
      </w:r>
    </w:p>
    <w:p w:rsidR="00F81980" w:rsidRPr="00881BEE" w:rsidRDefault="00FE5A31" w:rsidP="005B6595">
      <w:pPr>
        <w:ind w:left="284"/>
        <w:jc w:val="both"/>
        <w:rPr>
          <w:i/>
          <w:sz w:val="18"/>
          <w:szCs w:val="20"/>
        </w:rPr>
      </w:pPr>
      <w:r w:rsidRPr="00FE5A31">
        <w:rPr>
          <w:b/>
          <w:noProof/>
          <w:sz w:val="18"/>
          <w:szCs w:val="20"/>
        </w:rPr>
        <w:pict>
          <v:shape id="_x0000_s1087" type="#_x0000_t32" style="position:absolute;left:0;text-align:left;margin-left:-7.05pt;margin-top:4.8pt;width:541.55pt;height:0;z-index:251659264" o:connectortype="straight"/>
        </w:pict>
      </w:r>
    </w:p>
    <w:p w:rsidR="00EB6E60" w:rsidRPr="00881BEE" w:rsidRDefault="00EB6E60" w:rsidP="00EB6E60">
      <w:pPr>
        <w:spacing w:after="120"/>
        <w:jc w:val="both"/>
        <w:rPr>
          <w:b/>
          <w:sz w:val="20"/>
          <w:szCs w:val="20"/>
        </w:rPr>
        <w:sectPr w:rsidR="00EB6E60" w:rsidRPr="00881BEE" w:rsidSect="002F575D">
          <w:headerReference w:type="default" r:id="rId9"/>
          <w:footerReference w:type="default" r:id="rId10"/>
          <w:headerReference w:type="first" r:id="rId11"/>
          <w:footerReference w:type="first" r:id="rId12"/>
          <w:type w:val="continuous"/>
          <w:pgSz w:w="12240" w:h="15840" w:code="1"/>
          <w:pgMar w:top="1880" w:right="749" w:bottom="1440" w:left="907" w:header="1260" w:footer="860" w:gutter="0"/>
          <w:pgNumType w:start="41"/>
          <w:cols w:space="720"/>
          <w:titlePg/>
          <w:docGrid w:linePitch="360"/>
        </w:sectPr>
      </w:pPr>
    </w:p>
    <w:p w:rsidR="0093285A" w:rsidRPr="0093285A" w:rsidRDefault="0093285A" w:rsidP="0093285A">
      <w:pPr>
        <w:spacing w:line="360" w:lineRule="auto"/>
        <w:rPr>
          <w:b/>
          <w:szCs w:val="20"/>
        </w:rPr>
      </w:pPr>
      <w:r w:rsidRPr="0093285A">
        <w:rPr>
          <w:b/>
          <w:szCs w:val="20"/>
        </w:rPr>
        <w:lastRenderedPageBreak/>
        <w:t xml:space="preserve">Introduction </w:t>
      </w:r>
    </w:p>
    <w:p w:rsidR="0093285A" w:rsidRPr="0093285A" w:rsidRDefault="0093285A" w:rsidP="0093285A">
      <w:pPr>
        <w:jc w:val="both"/>
        <w:rPr>
          <w:sz w:val="20"/>
          <w:szCs w:val="20"/>
        </w:rPr>
      </w:pPr>
      <w:r w:rsidRPr="0093285A">
        <w:rPr>
          <w:sz w:val="20"/>
          <w:szCs w:val="20"/>
        </w:rPr>
        <w:t>Asset pricing has been a dominant theme in financial literature for the last fifty years. The financial market theory revolves around a rational investor who wants to maximize returns by assuming some acceptable level of risk. This warrants for existence of an optimal relation between risk and return, thus, making risk an important determinant of asset pricing. The theory of asset pricing leads back to Bachelier’s “</w:t>
      </w:r>
      <w:r w:rsidRPr="0093285A">
        <w:rPr>
          <w:i/>
          <w:sz w:val="20"/>
          <w:szCs w:val="20"/>
        </w:rPr>
        <w:t>Theory of Speculation</w:t>
      </w:r>
      <w:r w:rsidRPr="0093285A">
        <w:rPr>
          <w:sz w:val="20"/>
          <w:szCs w:val="20"/>
        </w:rPr>
        <w:t>” in which he recognized that past, present and even discounted future events are reflected in market prices of financial assets</w:t>
      </w:r>
      <w:r w:rsidRPr="0093285A">
        <w:rPr>
          <w:sz w:val="20"/>
          <w:szCs w:val="20"/>
          <w:vertAlign w:val="superscript"/>
        </w:rPr>
        <w:t>1</w:t>
      </w:r>
      <w:r w:rsidRPr="0093285A">
        <w:rPr>
          <w:sz w:val="20"/>
          <w:szCs w:val="20"/>
        </w:rPr>
        <w:t>. He ascertained that fluctuations in financial markets cannot be predicted; however, their likelihood can somewhat be evaluated mathematically. Inspired by this early notion of market efficiency, some fifty years later, Markowitz</w:t>
      </w:r>
      <w:r w:rsidRPr="0093285A">
        <w:rPr>
          <w:sz w:val="20"/>
          <w:szCs w:val="20"/>
          <w:vertAlign w:val="superscript"/>
        </w:rPr>
        <w:t>2</w:t>
      </w:r>
      <w:r w:rsidRPr="0093285A">
        <w:rPr>
          <w:sz w:val="20"/>
          <w:szCs w:val="20"/>
        </w:rPr>
        <w:t xml:space="preserve"> presented a meaningful measure of market risk – variance of returns – that revolutionized the financial theory in the later half of twentieth century. “</w:t>
      </w:r>
      <w:r w:rsidRPr="0093285A">
        <w:rPr>
          <w:i/>
          <w:sz w:val="20"/>
          <w:szCs w:val="20"/>
        </w:rPr>
        <w:t>Portfolio Selection</w:t>
      </w:r>
      <w:r w:rsidRPr="0093285A">
        <w:rPr>
          <w:sz w:val="20"/>
          <w:szCs w:val="20"/>
        </w:rPr>
        <w:t>” divided investment into efficient and inefficient set where investors are expected to hold the feasible set of portfolios. Building on Markowitz’s work Tobin</w:t>
      </w:r>
      <w:r w:rsidRPr="0093285A">
        <w:rPr>
          <w:sz w:val="20"/>
          <w:szCs w:val="20"/>
          <w:vertAlign w:val="superscript"/>
        </w:rPr>
        <w:t>3</w:t>
      </w:r>
      <w:r w:rsidRPr="0093285A">
        <w:rPr>
          <w:sz w:val="20"/>
          <w:szCs w:val="20"/>
        </w:rPr>
        <w:t xml:space="preserve"> presented his separation theorem. Tobin's Separation Theorem separates the portfolio selection problem into first finding that optimal combination of risky securities and then deciding whether to lend or borrow, depending on investor’s preference towards risk. He concluded that if there was only one risky portfolio plus borrowing and lending, the optimal portfolio would be the market portfolio. The full potential of Bachelier’s theory was only realized some 50 years later by Mandelbrot</w:t>
      </w:r>
      <w:r w:rsidRPr="0093285A">
        <w:rPr>
          <w:sz w:val="20"/>
          <w:szCs w:val="20"/>
          <w:vertAlign w:val="superscript"/>
        </w:rPr>
        <w:t>4</w:t>
      </w:r>
      <w:r w:rsidRPr="0093285A">
        <w:rPr>
          <w:sz w:val="20"/>
          <w:szCs w:val="20"/>
        </w:rPr>
        <w:t xml:space="preserve"> and Fama</w:t>
      </w:r>
      <w:r w:rsidRPr="0093285A">
        <w:rPr>
          <w:sz w:val="20"/>
          <w:szCs w:val="20"/>
          <w:vertAlign w:val="superscript"/>
        </w:rPr>
        <w:t>5</w:t>
      </w:r>
      <w:r w:rsidRPr="0093285A">
        <w:rPr>
          <w:sz w:val="20"/>
          <w:szCs w:val="20"/>
        </w:rPr>
        <w:t xml:space="preserve">. Their findings, that the variance of returns is not constant over time (heteroscedasiticity) and that the distribution of price changes were not Gaussian but leptokurtic, are among the foundations of </w:t>
      </w:r>
      <w:r w:rsidRPr="0093285A">
        <w:rPr>
          <w:sz w:val="20"/>
          <w:szCs w:val="20"/>
        </w:rPr>
        <w:lastRenderedPageBreak/>
        <w:t xml:space="preserve">modern financial theory. Fama concluded that the empirical distributions of share prices followed not a </w:t>
      </w:r>
      <w:r w:rsidRPr="0093285A">
        <w:rPr>
          <w:i/>
          <w:sz w:val="20"/>
          <w:szCs w:val="20"/>
        </w:rPr>
        <w:t>Gaussian</w:t>
      </w:r>
      <w:r w:rsidRPr="0093285A">
        <w:rPr>
          <w:sz w:val="20"/>
          <w:szCs w:val="20"/>
        </w:rPr>
        <w:t xml:space="preserve"> but a Stable </w:t>
      </w:r>
      <w:r w:rsidRPr="0093285A">
        <w:rPr>
          <w:i/>
          <w:sz w:val="20"/>
          <w:szCs w:val="20"/>
        </w:rPr>
        <w:t>Paretian</w:t>
      </w:r>
      <w:r w:rsidRPr="0093285A">
        <w:rPr>
          <w:sz w:val="20"/>
          <w:szCs w:val="20"/>
        </w:rPr>
        <w:t xml:space="preserve"> distribution with characteristic exponent less than 2, that is, with finite mean but infinite variance.</w:t>
      </w:r>
    </w:p>
    <w:p w:rsidR="0093285A" w:rsidRPr="0093285A" w:rsidRDefault="0093285A" w:rsidP="0093285A">
      <w:pPr>
        <w:jc w:val="both"/>
        <w:rPr>
          <w:sz w:val="20"/>
          <w:szCs w:val="20"/>
        </w:rPr>
      </w:pPr>
    </w:p>
    <w:p w:rsidR="0093285A" w:rsidRPr="0093285A" w:rsidRDefault="0093285A" w:rsidP="0093285A">
      <w:pPr>
        <w:jc w:val="both"/>
        <w:rPr>
          <w:sz w:val="20"/>
          <w:szCs w:val="20"/>
        </w:rPr>
      </w:pPr>
      <w:r w:rsidRPr="0093285A">
        <w:rPr>
          <w:sz w:val="20"/>
          <w:szCs w:val="20"/>
        </w:rPr>
        <w:t>The portfolio theory of Markowitz and Tobin brought us the first generation models of asset pricing by Sharpe</w:t>
      </w:r>
      <w:r w:rsidRPr="0093285A">
        <w:rPr>
          <w:sz w:val="20"/>
          <w:szCs w:val="20"/>
          <w:vertAlign w:val="superscript"/>
        </w:rPr>
        <w:t>6</w:t>
      </w:r>
      <w:r w:rsidRPr="0093285A">
        <w:rPr>
          <w:sz w:val="20"/>
          <w:szCs w:val="20"/>
        </w:rPr>
        <w:t>, Mossin</w:t>
      </w:r>
      <w:r w:rsidRPr="0093285A">
        <w:rPr>
          <w:sz w:val="20"/>
          <w:szCs w:val="20"/>
          <w:vertAlign w:val="superscript"/>
        </w:rPr>
        <w:t>7</w:t>
      </w:r>
      <w:r w:rsidRPr="0093285A">
        <w:rPr>
          <w:sz w:val="20"/>
          <w:szCs w:val="20"/>
        </w:rPr>
        <w:t>, and Litner</w:t>
      </w:r>
      <w:r w:rsidRPr="0093285A">
        <w:rPr>
          <w:sz w:val="20"/>
          <w:szCs w:val="20"/>
          <w:vertAlign w:val="superscript"/>
        </w:rPr>
        <w:t>8</w:t>
      </w:r>
      <w:r w:rsidRPr="0093285A">
        <w:rPr>
          <w:sz w:val="20"/>
          <w:szCs w:val="20"/>
        </w:rPr>
        <w:t>. Their work resulted in the capital asset pricing model (CAPM), which specifies the relationship between financial security return and relevant risk. CAPM has been widely discussed in the empirical and theoretical literature of financial economics with some early appreciation. However, the development in estimation and analysis techniques raised questions on simplistic assumptions of CAPM and researchers have proposed various extensions of the basic model along with more complex estimation techniques. Engle’s</w:t>
      </w:r>
      <w:r w:rsidRPr="0093285A">
        <w:rPr>
          <w:sz w:val="20"/>
          <w:szCs w:val="20"/>
          <w:vertAlign w:val="superscript"/>
        </w:rPr>
        <w:t>9</w:t>
      </w:r>
      <w:r w:rsidRPr="0093285A">
        <w:rPr>
          <w:sz w:val="20"/>
          <w:szCs w:val="20"/>
        </w:rPr>
        <w:t xml:space="preserve"> proposition of autoregressive conditional heteroskedasiticity (ARCH) has changed the view of financial economists about risk. In general, volatility is associated with uncertainty and unpredictability. It measures the variability about central tendency. Since the term is synonym with risk, it becomes crucial for the financial markets and its estimate serve as a barometer for the vulnerability of stock markets. The existence of excessive volatility or “noise” affects the usefulness of stock prices as “</w:t>
      </w:r>
      <w:r w:rsidRPr="0093285A">
        <w:rPr>
          <w:i/>
          <w:sz w:val="20"/>
          <w:szCs w:val="20"/>
        </w:rPr>
        <w:t>signal</w:t>
      </w:r>
      <w:r w:rsidRPr="0093285A">
        <w:rPr>
          <w:sz w:val="20"/>
          <w:szCs w:val="20"/>
        </w:rPr>
        <w:t>” about the intrinsic value of the firm – questioning the core concept of market efficiency.</w:t>
      </w:r>
    </w:p>
    <w:p w:rsidR="0093285A" w:rsidRPr="0093285A" w:rsidRDefault="0093285A" w:rsidP="0093285A">
      <w:pPr>
        <w:jc w:val="both"/>
        <w:rPr>
          <w:sz w:val="20"/>
          <w:szCs w:val="20"/>
        </w:rPr>
      </w:pPr>
    </w:p>
    <w:p w:rsidR="0093285A" w:rsidRPr="0093285A" w:rsidRDefault="0093285A" w:rsidP="0093285A">
      <w:pPr>
        <w:jc w:val="both"/>
        <w:rPr>
          <w:sz w:val="20"/>
          <w:szCs w:val="20"/>
        </w:rPr>
      </w:pPr>
      <w:r w:rsidRPr="0093285A">
        <w:rPr>
          <w:sz w:val="20"/>
          <w:szCs w:val="20"/>
        </w:rPr>
        <w:t xml:space="preserve">Significant research has been done on modeling time varying conditional heteroscedastic returns since if returns and volatility can be forecasted, dynamic asset allocation models can be constructed that use time dependent mean variance optimization </w:t>
      </w:r>
      <w:r w:rsidRPr="0093285A">
        <w:rPr>
          <w:sz w:val="20"/>
          <w:szCs w:val="20"/>
        </w:rPr>
        <w:lastRenderedPageBreak/>
        <w:t>over each period. Barra and Higgins</w:t>
      </w:r>
      <w:r w:rsidRPr="0093285A">
        <w:rPr>
          <w:sz w:val="20"/>
          <w:szCs w:val="20"/>
          <w:vertAlign w:val="superscript"/>
        </w:rPr>
        <w:t>10</w:t>
      </w:r>
      <w:r w:rsidRPr="0093285A">
        <w:rPr>
          <w:sz w:val="20"/>
          <w:szCs w:val="20"/>
        </w:rPr>
        <w:t xml:space="preserve"> suggested that a major contribution of ARCH literature is the prediction possibility of changes in time series volatility that result from non linear dependence and not from exogenous changes in variables. Non constant variance represents the likelihood of more than expected outliers from normal distribution, thus, a heteroscedastic process will follow heavy tailed distribution.</w:t>
      </w:r>
    </w:p>
    <w:p w:rsidR="0093285A" w:rsidRPr="0093285A" w:rsidRDefault="0093285A" w:rsidP="0093285A">
      <w:pPr>
        <w:jc w:val="both"/>
        <w:rPr>
          <w:sz w:val="20"/>
          <w:szCs w:val="20"/>
        </w:rPr>
      </w:pPr>
    </w:p>
    <w:p w:rsidR="0093285A" w:rsidRDefault="0093285A" w:rsidP="0093285A">
      <w:pPr>
        <w:jc w:val="both"/>
        <w:rPr>
          <w:sz w:val="20"/>
          <w:szCs w:val="20"/>
        </w:rPr>
      </w:pPr>
      <w:r w:rsidRPr="0093285A">
        <w:rPr>
          <w:sz w:val="20"/>
          <w:szCs w:val="20"/>
        </w:rPr>
        <w:t>Since Engle’s proposition of the Autoregressive Conditional Heteroscedastic (ARCH) model, there has been a large body of literature on volatility forecast. The empirical evidence is rather mixed as to which volatility forecast model performs best. Akgiray</w:t>
      </w:r>
      <w:r w:rsidRPr="0093285A">
        <w:rPr>
          <w:sz w:val="20"/>
          <w:szCs w:val="20"/>
          <w:vertAlign w:val="superscript"/>
        </w:rPr>
        <w:t>1</w:t>
      </w:r>
      <w:r w:rsidR="001E0C73">
        <w:rPr>
          <w:sz w:val="20"/>
          <w:szCs w:val="20"/>
          <w:vertAlign w:val="superscript"/>
        </w:rPr>
        <w:t>1</w:t>
      </w:r>
      <w:r w:rsidRPr="0093285A">
        <w:rPr>
          <w:sz w:val="20"/>
          <w:szCs w:val="20"/>
        </w:rPr>
        <w:t xml:space="preserve"> researched US stock markets and found that a GARCH (1, 1) model outperformed more traditional technical analysis. Brailsford and Faff</w:t>
      </w:r>
      <w:r w:rsidRPr="0093285A">
        <w:rPr>
          <w:sz w:val="20"/>
          <w:szCs w:val="20"/>
          <w:vertAlign w:val="superscript"/>
        </w:rPr>
        <w:t>1</w:t>
      </w:r>
      <w:r w:rsidR="001E0C73">
        <w:rPr>
          <w:sz w:val="20"/>
          <w:szCs w:val="20"/>
          <w:vertAlign w:val="superscript"/>
        </w:rPr>
        <w:t>2</w:t>
      </w:r>
      <w:r w:rsidRPr="0093285A">
        <w:rPr>
          <w:sz w:val="20"/>
          <w:szCs w:val="20"/>
        </w:rPr>
        <w:t xml:space="preserve"> employed Australian data to compare the predictive performance of several statistical methods with GARCH and TGARCH models. The results suggested that the ARCH class of models and a simple regression model provide superior forecasts of volatility. However, the various model rankings were shown to be sensitive to the error statistic used to assess the accuracy of the forecasts. Malkiel and Xu</w:t>
      </w:r>
      <w:r w:rsidRPr="0093285A">
        <w:rPr>
          <w:sz w:val="20"/>
          <w:szCs w:val="20"/>
          <w:vertAlign w:val="superscript"/>
        </w:rPr>
        <w:t>1</w:t>
      </w:r>
      <w:r w:rsidR="001E0C73">
        <w:rPr>
          <w:sz w:val="20"/>
          <w:szCs w:val="20"/>
          <w:vertAlign w:val="superscript"/>
        </w:rPr>
        <w:t>3</w:t>
      </w:r>
      <w:r w:rsidRPr="0093285A">
        <w:rPr>
          <w:sz w:val="20"/>
          <w:szCs w:val="20"/>
        </w:rPr>
        <w:t xml:space="preserve"> used a disaggregate approach to study the behavior of stock market volatility. While the volatility for the stock market as a whole has been remarkably stable over time, the volatility of individual stocks appears to have increased. There are some possible reasons to believe that volatility in the stock market as a whole should have increased over recent decades. Improvements in the speed and availability of information, the growth in the proportion of trading done by institutional investors and new trading techniques all may have increased the responsiveness of markets to changes in the sentiment and to the arrival of new information. The facts, however, at least with respect to the market as a whole, do not suggest that the volatility has increased. They have not looked at the market portfolio but rather at individual stocks and industry average. By looking at the disaggregated volatility of stock prices, they reached a different conclusion that volatility in the stock market has increased considerably during the past quarter century.</w:t>
      </w:r>
    </w:p>
    <w:p w:rsidR="0093285A" w:rsidRPr="006D3DDF" w:rsidRDefault="0093285A" w:rsidP="0093285A">
      <w:pPr>
        <w:jc w:val="both"/>
        <w:rPr>
          <w:sz w:val="12"/>
          <w:szCs w:val="20"/>
        </w:rPr>
      </w:pPr>
    </w:p>
    <w:p w:rsidR="0093285A" w:rsidRPr="0093285A" w:rsidRDefault="0093285A" w:rsidP="0093285A">
      <w:pPr>
        <w:jc w:val="both"/>
        <w:rPr>
          <w:sz w:val="20"/>
          <w:szCs w:val="20"/>
        </w:rPr>
      </w:pPr>
      <w:r w:rsidRPr="0093285A">
        <w:rPr>
          <w:sz w:val="20"/>
          <w:szCs w:val="20"/>
        </w:rPr>
        <w:t>Yu</w:t>
      </w:r>
      <w:r w:rsidRPr="0093285A">
        <w:rPr>
          <w:sz w:val="20"/>
          <w:szCs w:val="20"/>
          <w:vertAlign w:val="superscript"/>
        </w:rPr>
        <w:t>1</w:t>
      </w:r>
      <w:r w:rsidR="001E0C73">
        <w:rPr>
          <w:sz w:val="20"/>
          <w:szCs w:val="20"/>
          <w:vertAlign w:val="superscript"/>
        </w:rPr>
        <w:t>4</w:t>
      </w:r>
      <w:r w:rsidRPr="0093285A">
        <w:rPr>
          <w:sz w:val="20"/>
          <w:szCs w:val="20"/>
        </w:rPr>
        <w:t xml:space="preserve"> evaluated the performance of nine alternative models for predicting stock price volatility. The data set he used is the New Zealand Stock Market Exchange (NZSE40) capital index, which covers 40 largest and most liquid stocks listed and quoted on the New Zealand Stock Market Exchange, weighted by the market capitalization without dividends reinvested. The sample consists of 4741 daily returns over the period from 1 January 1980 to 31 December 1998. The competing models contained both simple models such as the random walk and smoothing models and complex models such as ARCH type models and a stochastic volatility model. Four different measures were used to evaluate the forecasting accuracy. The main results demonstrated that the stochastic model provided the best performance among the competing models.</w:t>
      </w:r>
    </w:p>
    <w:p w:rsidR="0093285A" w:rsidRPr="006D3DDF" w:rsidRDefault="0093285A" w:rsidP="0093285A">
      <w:pPr>
        <w:jc w:val="both"/>
        <w:rPr>
          <w:sz w:val="12"/>
          <w:szCs w:val="20"/>
        </w:rPr>
      </w:pPr>
    </w:p>
    <w:p w:rsidR="0093285A" w:rsidRPr="0093285A" w:rsidRDefault="0093285A" w:rsidP="0093285A">
      <w:pPr>
        <w:jc w:val="both"/>
        <w:rPr>
          <w:sz w:val="20"/>
          <w:szCs w:val="20"/>
        </w:rPr>
      </w:pPr>
      <w:r w:rsidRPr="0093285A">
        <w:rPr>
          <w:sz w:val="20"/>
          <w:szCs w:val="20"/>
        </w:rPr>
        <w:t>Batra</w:t>
      </w:r>
      <w:r w:rsidRPr="0093285A">
        <w:rPr>
          <w:sz w:val="20"/>
          <w:szCs w:val="20"/>
          <w:vertAlign w:val="superscript"/>
        </w:rPr>
        <w:t>1</w:t>
      </w:r>
      <w:r w:rsidR="001E0C73">
        <w:rPr>
          <w:sz w:val="20"/>
          <w:szCs w:val="20"/>
          <w:vertAlign w:val="superscript"/>
        </w:rPr>
        <w:t>5</w:t>
      </w:r>
      <w:r w:rsidRPr="0093285A">
        <w:rPr>
          <w:sz w:val="20"/>
          <w:szCs w:val="20"/>
        </w:rPr>
        <w:t xml:space="preserve"> examined the time variation in volatility in the Indian stock market during 1979-2003.</w:t>
      </w:r>
      <w:r w:rsidR="001E0C73">
        <w:rPr>
          <w:sz w:val="20"/>
          <w:szCs w:val="20"/>
        </w:rPr>
        <w:t xml:space="preserve"> </w:t>
      </w:r>
      <w:r w:rsidRPr="0093285A">
        <w:rPr>
          <w:sz w:val="20"/>
          <w:szCs w:val="20"/>
        </w:rPr>
        <w:t xml:space="preserve">He has used the asymmetric </w:t>
      </w:r>
      <w:r w:rsidRPr="0093285A">
        <w:rPr>
          <w:sz w:val="20"/>
          <w:szCs w:val="20"/>
        </w:rPr>
        <w:lastRenderedPageBreak/>
        <w:t>GARCH methodology augmented by structural changes. The paper identifies sudden shifts in the stock price volatility and nature of events that cause these shifts in volatility. He undertook an analysis of the stock market cycles in India to see if bull and bear phases of the market have exhibited greater volatility in recent times. The empirical analysis in the paper reveals that the period around the BOP crisis and subsequent initiation of the economic reforms in India is the most volatile period in the stock market.</w:t>
      </w:r>
    </w:p>
    <w:p w:rsidR="0093285A" w:rsidRPr="006D3DDF" w:rsidRDefault="0093285A" w:rsidP="0093285A">
      <w:pPr>
        <w:jc w:val="both"/>
        <w:rPr>
          <w:sz w:val="20"/>
          <w:szCs w:val="20"/>
        </w:rPr>
      </w:pPr>
    </w:p>
    <w:p w:rsidR="0093285A" w:rsidRPr="0093285A" w:rsidRDefault="0093285A" w:rsidP="0093285A">
      <w:pPr>
        <w:jc w:val="both"/>
        <w:rPr>
          <w:sz w:val="20"/>
          <w:szCs w:val="20"/>
        </w:rPr>
      </w:pPr>
      <w:r w:rsidRPr="0093285A">
        <w:rPr>
          <w:sz w:val="20"/>
          <w:szCs w:val="20"/>
        </w:rPr>
        <w:t>Emerging markets are subject to higher stock volatility with the inherent economic risks. These markets are marked with many estimation problems including non-synchronous trading. Most of the non-synchronous trading phenomenon happens in emerging stock markets because in those markets the trade is low (thin). In presence of thin trading, the traditional ordinary least square (OLS) estimates of risk are seriously biased. In the OLS model, returns on a given security i are regressed against the concurrent returns of the market. Basically, such estimation has a disadvantage because it gives unstable and biased Beta</w:t>
      </w:r>
      <w:r w:rsidRPr="0093285A">
        <w:rPr>
          <w:sz w:val="20"/>
          <w:szCs w:val="20"/>
          <w:vertAlign w:val="superscript"/>
        </w:rPr>
        <w:t>1</w:t>
      </w:r>
      <w:r w:rsidR="001E0C73">
        <w:rPr>
          <w:sz w:val="20"/>
          <w:szCs w:val="20"/>
          <w:vertAlign w:val="superscript"/>
        </w:rPr>
        <w:t>6</w:t>
      </w:r>
      <w:r w:rsidRPr="0093285A">
        <w:rPr>
          <w:sz w:val="20"/>
          <w:szCs w:val="20"/>
        </w:rPr>
        <w:t>. Biased Beta usually happens in thin-trading markets. Thin-trading phenomenon that makes biased Beta is identical with non-synchronous trading that is caused by infrequent trading. In this sense, there might be some sleeping stocks. Non-synchronous trading problems arise in securities due to the time lag between the setting of market clearing prices for securities and the market index computed at the end of a discrete time interval, known as the intervalling effect. Thus OLS is a weak method of producing better Beta estimators</w:t>
      </w:r>
      <w:r w:rsidRPr="0093285A">
        <w:rPr>
          <w:sz w:val="20"/>
          <w:szCs w:val="20"/>
          <w:vertAlign w:val="superscript"/>
        </w:rPr>
        <w:t>1</w:t>
      </w:r>
      <w:r w:rsidR="001E0C73">
        <w:rPr>
          <w:sz w:val="20"/>
          <w:szCs w:val="20"/>
          <w:vertAlign w:val="superscript"/>
        </w:rPr>
        <w:t>7</w:t>
      </w:r>
      <w:r w:rsidRPr="0093285A">
        <w:rPr>
          <w:sz w:val="20"/>
          <w:szCs w:val="20"/>
        </w:rPr>
        <w:t xml:space="preserve">. </w:t>
      </w:r>
    </w:p>
    <w:p w:rsidR="0093285A" w:rsidRPr="006D3DDF" w:rsidRDefault="0093285A" w:rsidP="0093285A">
      <w:pPr>
        <w:jc w:val="both"/>
        <w:rPr>
          <w:sz w:val="18"/>
          <w:szCs w:val="20"/>
        </w:rPr>
      </w:pPr>
    </w:p>
    <w:p w:rsidR="0093285A" w:rsidRPr="0093285A" w:rsidRDefault="0093285A" w:rsidP="0093285A">
      <w:pPr>
        <w:jc w:val="both"/>
        <w:rPr>
          <w:sz w:val="20"/>
          <w:szCs w:val="20"/>
        </w:rPr>
      </w:pPr>
      <w:r w:rsidRPr="0093285A">
        <w:rPr>
          <w:sz w:val="20"/>
          <w:szCs w:val="20"/>
        </w:rPr>
        <w:t>Pakistan is an emerging financial market with three stock exchanges. These include Karachi Stock Exchange (KSE), Lahore Stock Exchange (LSE) and Islamabad Stock Exchange (ISE). Like most of the emerging economies, Investors place lower importance on stock fundamentals and they trade taking index returns as barometer. The likely scene in a Pakistani bearish market could follow the following sequence of events. If index is trading on a lower side, panic sale might come in which would cause the index to decline further. Thus, a circle will follow unless the circuit breakers are triggered. It is a common perception that Pakistani stock markets are highly volatile and this is due to insider trading by brokers. The practice of wash trades is common which sometimes create panic within investors. Thus, volatility plays a much vital role and investors rely less on fundamentals. The manipulation by the informed traders increases volatility which further increases the participation cost for the common investors and thus, tendency of ordinary investor’s participation decreases. These kinds of costs are sometimes pointed out as the reason for underdevelopment of markets since they affect the depth of the market and adversely affect its intermediary role.</w:t>
      </w:r>
    </w:p>
    <w:p w:rsidR="0093285A" w:rsidRPr="006D3DDF" w:rsidRDefault="0093285A" w:rsidP="0093285A">
      <w:pPr>
        <w:jc w:val="both"/>
        <w:rPr>
          <w:sz w:val="22"/>
          <w:szCs w:val="20"/>
        </w:rPr>
      </w:pPr>
    </w:p>
    <w:p w:rsidR="0093285A" w:rsidRDefault="0093285A" w:rsidP="0093285A">
      <w:pPr>
        <w:jc w:val="both"/>
        <w:rPr>
          <w:sz w:val="20"/>
          <w:szCs w:val="20"/>
        </w:rPr>
      </w:pPr>
      <w:r w:rsidRPr="0093285A">
        <w:rPr>
          <w:sz w:val="20"/>
          <w:szCs w:val="20"/>
        </w:rPr>
        <w:t xml:space="preserve">LSE and ISE are comparatively smaller markets. As KSE is the main traded market, the two smaller markets have a strong tendency to imitate KSE 100 index performance. The correlation matrix of index returns of three stock markets for a </w:t>
      </w:r>
      <w:r w:rsidRPr="0093285A">
        <w:rPr>
          <w:sz w:val="20"/>
          <w:szCs w:val="20"/>
        </w:rPr>
        <w:lastRenderedPageBreak/>
        <w:t>period of eight years (April 2004 – September 2012) is given below.</w:t>
      </w:r>
    </w:p>
    <w:p w:rsidR="0093285A" w:rsidRDefault="0093285A" w:rsidP="0093285A">
      <w:pPr>
        <w:widowControl w:val="0"/>
        <w:autoSpaceDE w:val="0"/>
        <w:autoSpaceDN w:val="0"/>
        <w:adjustRightInd w:val="0"/>
        <w:jc w:val="center"/>
        <w:rPr>
          <w:b/>
          <w:bCs/>
          <w:sz w:val="20"/>
          <w:szCs w:val="20"/>
        </w:rPr>
      </w:pPr>
      <w:r w:rsidRPr="00542064">
        <w:rPr>
          <w:b/>
          <w:bCs/>
          <w:sz w:val="20"/>
          <w:szCs w:val="20"/>
        </w:rPr>
        <w:t>Table</w:t>
      </w:r>
      <w:r>
        <w:rPr>
          <w:b/>
          <w:bCs/>
          <w:sz w:val="20"/>
          <w:szCs w:val="20"/>
        </w:rPr>
        <w:t>-</w:t>
      </w:r>
      <w:r w:rsidRPr="00542064">
        <w:rPr>
          <w:b/>
          <w:bCs/>
          <w:sz w:val="20"/>
          <w:szCs w:val="20"/>
        </w:rPr>
        <w:t>1</w:t>
      </w:r>
    </w:p>
    <w:p w:rsidR="001E0C73" w:rsidRDefault="0093285A" w:rsidP="0093285A">
      <w:pPr>
        <w:widowControl w:val="0"/>
        <w:autoSpaceDE w:val="0"/>
        <w:autoSpaceDN w:val="0"/>
        <w:adjustRightInd w:val="0"/>
        <w:jc w:val="center"/>
        <w:rPr>
          <w:b/>
          <w:bCs/>
          <w:sz w:val="20"/>
          <w:szCs w:val="20"/>
        </w:rPr>
      </w:pPr>
      <w:r w:rsidRPr="00542064">
        <w:rPr>
          <w:b/>
          <w:bCs/>
          <w:sz w:val="20"/>
          <w:szCs w:val="20"/>
        </w:rPr>
        <w:t xml:space="preserve">Correlation Matrix of Index Returns </w:t>
      </w:r>
    </w:p>
    <w:p w:rsidR="0093285A" w:rsidRPr="00542064" w:rsidRDefault="0093285A" w:rsidP="0093285A">
      <w:pPr>
        <w:widowControl w:val="0"/>
        <w:autoSpaceDE w:val="0"/>
        <w:autoSpaceDN w:val="0"/>
        <w:adjustRightInd w:val="0"/>
        <w:jc w:val="center"/>
        <w:rPr>
          <w:sz w:val="20"/>
          <w:szCs w:val="20"/>
        </w:rPr>
      </w:pPr>
      <w:r w:rsidRPr="00542064">
        <w:rPr>
          <w:b/>
          <w:bCs/>
          <w:sz w:val="20"/>
          <w:szCs w:val="20"/>
        </w:rPr>
        <w:t>(April 2004 – September 2012)</w:t>
      </w:r>
    </w:p>
    <w:tbl>
      <w:tblPr>
        <w:tblW w:w="49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77"/>
        <w:gridCol w:w="1357"/>
        <w:gridCol w:w="1321"/>
        <w:gridCol w:w="994"/>
      </w:tblGrid>
      <w:tr w:rsidR="0093285A" w:rsidRPr="00CD1C0A" w:rsidTr="006D3DDF">
        <w:trPr>
          <w:trHeight w:val="20"/>
        </w:trPr>
        <w:tc>
          <w:tcPr>
            <w:tcW w:w="1434" w:type="pct"/>
            <w:vAlign w:val="bottom"/>
          </w:tcPr>
          <w:p w:rsidR="0093285A" w:rsidRPr="00CD1C0A" w:rsidRDefault="0093285A" w:rsidP="0093285A">
            <w:pPr>
              <w:widowControl w:val="0"/>
              <w:autoSpaceDE w:val="0"/>
              <w:autoSpaceDN w:val="0"/>
              <w:adjustRightInd w:val="0"/>
              <w:rPr>
                <w:sz w:val="20"/>
                <w:szCs w:val="20"/>
              </w:rPr>
            </w:pPr>
          </w:p>
        </w:tc>
        <w:tc>
          <w:tcPr>
            <w:tcW w:w="1318" w:type="pct"/>
            <w:vAlign w:val="bottom"/>
          </w:tcPr>
          <w:p w:rsidR="0093285A" w:rsidRPr="00CD1C0A" w:rsidRDefault="0093285A" w:rsidP="0093285A">
            <w:pPr>
              <w:widowControl w:val="0"/>
              <w:autoSpaceDE w:val="0"/>
              <w:autoSpaceDN w:val="0"/>
              <w:adjustRightInd w:val="0"/>
              <w:ind w:left="260"/>
              <w:rPr>
                <w:sz w:val="20"/>
                <w:szCs w:val="20"/>
              </w:rPr>
            </w:pPr>
            <w:r w:rsidRPr="00CD1C0A">
              <w:rPr>
                <w:b/>
                <w:bCs/>
                <w:sz w:val="20"/>
                <w:szCs w:val="20"/>
              </w:rPr>
              <w:t>KSE 100</w:t>
            </w:r>
          </w:p>
        </w:tc>
        <w:tc>
          <w:tcPr>
            <w:tcW w:w="1283" w:type="pct"/>
            <w:vAlign w:val="bottom"/>
          </w:tcPr>
          <w:p w:rsidR="0093285A" w:rsidRPr="00CD1C0A" w:rsidRDefault="0093285A" w:rsidP="0093285A">
            <w:pPr>
              <w:widowControl w:val="0"/>
              <w:autoSpaceDE w:val="0"/>
              <w:autoSpaceDN w:val="0"/>
              <w:adjustRightInd w:val="0"/>
              <w:ind w:left="320"/>
              <w:rPr>
                <w:sz w:val="20"/>
                <w:szCs w:val="20"/>
              </w:rPr>
            </w:pPr>
            <w:r w:rsidRPr="00CD1C0A">
              <w:rPr>
                <w:b/>
                <w:bCs/>
                <w:sz w:val="20"/>
                <w:szCs w:val="20"/>
              </w:rPr>
              <w:t>LSE 25</w:t>
            </w:r>
          </w:p>
        </w:tc>
        <w:tc>
          <w:tcPr>
            <w:tcW w:w="965" w:type="pct"/>
            <w:vAlign w:val="bottom"/>
          </w:tcPr>
          <w:p w:rsidR="0093285A" w:rsidRPr="00CD1C0A" w:rsidRDefault="0093285A" w:rsidP="0093285A">
            <w:pPr>
              <w:widowControl w:val="0"/>
              <w:autoSpaceDE w:val="0"/>
              <w:autoSpaceDN w:val="0"/>
              <w:adjustRightInd w:val="0"/>
              <w:ind w:left="360"/>
              <w:rPr>
                <w:sz w:val="20"/>
                <w:szCs w:val="20"/>
              </w:rPr>
            </w:pPr>
            <w:r w:rsidRPr="00CD1C0A">
              <w:rPr>
                <w:b/>
                <w:bCs/>
                <w:sz w:val="20"/>
                <w:szCs w:val="20"/>
              </w:rPr>
              <w:t>ISE 10</w:t>
            </w:r>
          </w:p>
        </w:tc>
      </w:tr>
      <w:tr w:rsidR="0093285A" w:rsidRPr="00CD1C0A" w:rsidTr="006D3DDF">
        <w:trPr>
          <w:trHeight w:val="20"/>
        </w:trPr>
        <w:tc>
          <w:tcPr>
            <w:tcW w:w="1434" w:type="pct"/>
            <w:vAlign w:val="bottom"/>
          </w:tcPr>
          <w:p w:rsidR="0093285A" w:rsidRPr="00CD1C0A" w:rsidRDefault="0093285A" w:rsidP="0093285A">
            <w:pPr>
              <w:widowControl w:val="0"/>
              <w:autoSpaceDE w:val="0"/>
              <w:autoSpaceDN w:val="0"/>
              <w:adjustRightInd w:val="0"/>
              <w:jc w:val="center"/>
              <w:rPr>
                <w:sz w:val="20"/>
                <w:szCs w:val="20"/>
              </w:rPr>
            </w:pPr>
            <w:r w:rsidRPr="00CD1C0A">
              <w:rPr>
                <w:b/>
                <w:bCs/>
                <w:w w:val="99"/>
                <w:sz w:val="20"/>
                <w:szCs w:val="20"/>
              </w:rPr>
              <w:t>KSE 100</w:t>
            </w:r>
          </w:p>
        </w:tc>
        <w:tc>
          <w:tcPr>
            <w:tcW w:w="1318" w:type="pct"/>
            <w:vAlign w:val="bottom"/>
          </w:tcPr>
          <w:p w:rsidR="0093285A" w:rsidRPr="00CD1C0A" w:rsidRDefault="0093285A" w:rsidP="0093285A">
            <w:pPr>
              <w:widowControl w:val="0"/>
              <w:autoSpaceDE w:val="0"/>
              <w:autoSpaceDN w:val="0"/>
              <w:adjustRightInd w:val="0"/>
              <w:jc w:val="center"/>
              <w:rPr>
                <w:sz w:val="20"/>
                <w:szCs w:val="20"/>
              </w:rPr>
            </w:pPr>
            <w:r w:rsidRPr="00CD1C0A">
              <w:rPr>
                <w:w w:val="99"/>
                <w:sz w:val="20"/>
                <w:szCs w:val="20"/>
              </w:rPr>
              <w:t>1</w:t>
            </w:r>
          </w:p>
        </w:tc>
        <w:tc>
          <w:tcPr>
            <w:tcW w:w="1283" w:type="pct"/>
            <w:vAlign w:val="bottom"/>
          </w:tcPr>
          <w:p w:rsidR="0093285A" w:rsidRPr="00CD1C0A" w:rsidRDefault="0093285A" w:rsidP="0093285A">
            <w:pPr>
              <w:widowControl w:val="0"/>
              <w:autoSpaceDE w:val="0"/>
              <w:autoSpaceDN w:val="0"/>
              <w:adjustRightInd w:val="0"/>
              <w:jc w:val="center"/>
              <w:rPr>
                <w:sz w:val="20"/>
                <w:szCs w:val="20"/>
              </w:rPr>
            </w:pPr>
            <w:r w:rsidRPr="00CD1C0A">
              <w:rPr>
                <w:w w:val="99"/>
                <w:sz w:val="20"/>
                <w:szCs w:val="20"/>
              </w:rPr>
              <w:t>0.76</w:t>
            </w:r>
          </w:p>
        </w:tc>
        <w:tc>
          <w:tcPr>
            <w:tcW w:w="965" w:type="pct"/>
            <w:vAlign w:val="bottom"/>
          </w:tcPr>
          <w:p w:rsidR="0093285A" w:rsidRPr="00CD1C0A" w:rsidRDefault="0093285A" w:rsidP="0093285A">
            <w:pPr>
              <w:widowControl w:val="0"/>
              <w:autoSpaceDE w:val="0"/>
              <w:autoSpaceDN w:val="0"/>
              <w:adjustRightInd w:val="0"/>
              <w:jc w:val="center"/>
              <w:rPr>
                <w:sz w:val="20"/>
                <w:szCs w:val="20"/>
              </w:rPr>
            </w:pPr>
            <w:r w:rsidRPr="00CD1C0A">
              <w:rPr>
                <w:w w:val="99"/>
                <w:sz w:val="20"/>
                <w:szCs w:val="20"/>
              </w:rPr>
              <w:t>0.74</w:t>
            </w:r>
          </w:p>
        </w:tc>
      </w:tr>
      <w:tr w:rsidR="0093285A" w:rsidRPr="00CD1C0A" w:rsidTr="006D3DDF">
        <w:trPr>
          <w:trHeight w:val="20"/>
        </w:trPr>
        <w:tc>
          <w:tcPr>
            <w:tcW w:w="1434" w:type="pct"/>
            <w:vAlign w:val="bottom"/>
          </w:tcPr>
          <w:p w:rsidR="0093285A" w:rsidRPr="00CD1C0A" w:rsidRDefault="0093285A" w:rsidP="0093285A">
            <w:pPr>
              <w:widowControl w:val="0"/>
              <w:autoSpaceDE w:val="0"/>
              <w:autoSpaceDN w:val="0"/>
              <w:adjustRightInd w:val="0"/>
              <w:jc w:val="center"/>
              <w:rPr>
                <w:sz w:val="20"/>
                <w:szCs w:val="20"/>
              </w:rPr>
            </w:pPr>
            <w:r w:rsidRPr="00CD1C0A">
              <w:rPr>
                <w:b/>
                <w:bCs/>
                <w:sz w:val="20"/>
                <w:szCs w:val="20"/>
              </w:rPr>
              <w:t>LSE 25</w:t>
            </w:r>
          </w:p>
        </w:tc>
        <w:tc>
          <w:tcPr>
            <w:tcW w:w="1318" w:type="pct"/>
            <w:vAlign w:val="bottom"/>
          </w:tcPr>
          <w:p w:rsidR="0093285A" w:rsidRPr="00CD1C0A" w:rsidRDefault="0093285A" w:rsidP="0093285A">
            <w:pPr>
              <w:widowControl w:val="0"/>
              <w:autoSpaceDE w:val="0"/>
              <w:autoSpaceDN w:val="0"/>
              <w:adjustRightInd w:val="0"/>
              <w:jc w:val="center"/>
              <w:rPr>
                <w:sz w:val="20"/>
                <w:szCs w:val="20"/>
              </w:rPr>
            </w:pPr>
            <w:r w:rsidRPr="00CD1C0A">
              <w:rPr>
                <w:w w:val="99"/>
                <w:sz w:val="20"/>
                <w:szCs w:val="20"/>
              </w:rPr>
              <w:t>0.76</w:t>
            </w:r>
          </w:p>
        </w:tc>
        <w:tc>
          <w:tcPr>
            <w:tcW w:w="1283" w:type="pct"/>
            <w:vAlign w:val="bottom"/>
          </w:tcPr>
          <w:p w:rsidR="0093285A" w:rsidRPr="00CD1C0A" w:rsidRDefault="0093285A" w:rsidP="0093285A">
            <w:pPr>
              <w:widowControl w:val="0"/>
              <w:autoSpaceDE w:val="0"/>
              <w:autoSpaceDN w:val="0"/>
              <w:adjustRightInd w:val="0"/>
              <w:jc w:val="center"/>
              <w:rPr>
                <w:sz w:val="20"/>
                <w:szCs w:val="20"/>
              </w:rPr>
            </w:pPr>
            <w:r w:rsidRPr="00CD1C0A">
              <w:rPr>
                <w:w w:val="99"/>
                <w:sz w:val="20"/>
                <w:szCs w:val="20"/>
              </w:rPr>
              <w:t>1</w:t>
            </w:r>
          </w:p>
        </w:tc>
        <w:tc>
          <w:tcPr>
            <w:tcW w:w="965" w:type="pct"/>
            <w:vAlign w:val="bottom"/>
          </w:tcPr>
          <w:p w:rsidR="0093285A" w:rsidRPr="00CD1C0A" w:rsidRDefault="0093285A" w:rsidP="0093285A">
            <w:pPr>
              <w:widowControl w:val="0"/>
              <w:autoSpaceDE w:val="0"/>
              <w:autoSpaceDN w:val="0"/>
              <w:adjustRightInd w:val="0"/>
              <w:jc w:val="center"/>
              <w:rPr>
                <w:sz w:val="20"/>
                <w:szCs w:val="20"/>
              </w:rPr>
            </w:pPr>
            <w:r w:rsidRPr="00CD1C0A">
              <w:rPr>
                <w:w w:val="99"/>
                <w:sz w:val="20"/>
                <w:szCs w:val="20"/>
              </w:rPr>
              <w:t>0.56</w:t>
            </w:r>
          </w:p>
        </w:tc>
      </w:tr>
      <w:tr w:rsidR="0093285A" w:rsidRPr="00CD1C0A" w:rsidTr="006D3DDF">
        <w:trPr>
          <w:trHeight w:val="20"/>
        </w:trPr>
        <w:tc>
          <w:tcPr>
            <w:tcW w:w="1434" w:type="pct"/>
            <w:vAlign w:val="bottom"/>
          </w:tcPr>
          <w:p w:rsidR="0093285A" w:rsidRPr="00CD1C0A" w:rsidRDefault="0093285A" w:rsidP="0093285A">
            <w:pPr>
              <w:widowControl w:val="0"/>
              <w:autoSpaceDE w:val="0"/>
              <w:autoSpaceDN w:val="0"/>
              <w:adjustRightInd w:val="0"/>
              <w:jc w:val="center"/>
              <w:rPr>
                <w:sz w:val="20"/>
                <w:szCs w:val="20"/>
              </w:rPr>
            </w:pPr>
            <w:r w:rsidRPr="00CD1C0A">
              <w:rPr>
                <w:b/>
                <w:bCs/>
                <w:w w:val="98"/>
                <w:sz w:val="20"/>
                <w:szCs w:val="20"/>
              </w:rPr>
              <w:t>ISE 10</w:t>
            </w:r>
          </w:p>
        </w:tc>
        <w:tc>
          <w:tcPr>
            <w:tcW w:w="1318" w:type="pct"/>
            <w:vAlign w:val="bottom"/>
          </w:tcPr>
          <w:p w:rsidR="0093285A" w:rsidRPr="00CD1C0A" w:rsidRDefault="0093285A" w:rsidP="0093285A">
            <w:pPr>
              <w:widowControl w:val="0"/>
              <w:autoSpaceDE w:val="0"/>
              <w:autoSpaceDN w:val="0"/>
              <w:adjustRightInd w:val="0"/>
              <w:jc w:val="center"/>
              <w:rPr>
                <w:sz w:val="20"/>
                <w:szCs w:val="20"/>
              </w:rPr>
            </w:pPr>
            <w:r w:rsidRPr="00CD1C0A">
              <w:rPr>
                <w:w w:val="99"/>
                <w:sz w:val="20"/>
                <w:szCs w:val="20"/>
              </w:rPr>
              <w:t>0.74</w:t>
            </w:r>
          </w:p>
        </w:tc>
        <w:tc>
          <w:tcPr>
            <w:tcW w:w="1283" w:type="pct"/>
            <w:vAlign w:val="bottom"/>
          </w:tcPr>
          <w:p w:rsidR="0093285A" w:rsidRPr="00CD1C0A" w:rsidRDefault="0093285A" w:rsidP="0093285A">
            <w:pPr>
              <w:widowControl w:val="0"/>
              <w:autoSpaceDE w:val="0"/>
              <w:autoSpaceDN w:val="0"/>
              <w:adjustRightInd w:val="0"/>
              <w:jc w:val="center"/>
              <w:rPr>
                <w:sz w:val="20"/>
                <w:szCs w:val="20"/>
              </w:rPr>
            </w:pPr>
            <w:r w:rsidRPr="00CD1C0A">
              <w:rPr>
                <w:w w:val="99"/>
                <w:sz w:val="20"/>
                <w:szCs w:val="20"/>
              </w:rPr>
              <w:t>0.56</w:t>
            </w:r>
          </w:p>
        </w:tc>
        <w:tc>
          <w:tcPr>
            <w:tcW w:w="965" w:type="pct"/>
            <w:vAlign w:val="bottom"/>
          </w:tcPr>
          <w:p w:rsidR="0093285A" w:rsidRPr="00CD1C0A" w:rsidRDefault="0093285A" w:rsidP="0093285A">
            <w:pPr>
              <w:widowControl w:val="0"/>
              <w:autoSpaceDE w:val="0"/>
              <w:autoSpaceDN w:val="0"/>
              <w:adjustRightInd w:val="0"/>
              <w:jc w:val="center"/>
              <w:rPr>
                <w:sz w:val="20"/>
                <w:szCs w:val="20"/>
              </w:rPr>
            </w:pPr>
            <w:r w:rsidRPr="00CD1C0A">
              <w:rPr>
                <w:w w:val="99"/>
                <w:sz w:val="20"/>
                <w:szCs w:val="20"/>
              </w:rPr>
              <w:t>1</w:t>
            </w:r>
          </w:p>
        </w:tc>
      </w:tr>
    </w:tbl>
    <w:p w:rsidR="0093285A" w:rsidRDefault="0093285A" w:rsidP="0093285A">
      <w:pPr>
        <w:jc w:val="both"/>
        <w:rPr>
          <w:sz w:val="20"/>
          <w:szCs w:val="20"/>
        </w:rPr>
      </w:pPr>
    </w:p>
    <w:p w:rsidR="0093285A" w:rsidRDefault="0093285A" w:rsidP="0093285A">
      <w:pPr>
        <w:jc w:val="both"/>
        <w:rPr>
          <w:sz w:val="20"/>
          <w:szCs w:val="20"/>
        </w:rPr>
      </w:pPr>
      <w:r w:rsidRPr="0093285A">
        <w:rPr>
          <w:sz w:val="20"/>
          <w:szCs w:val="20"/>
        </w:rPr>
        <w:t>From table 1, the imitation theory is evident with LSE 25 and ISE 10 returns being highly correlated with KSE 100 returns (76% and 74% respectively). Although, a high correlation between returns of ISE 10 and LSE 25 exists at 56%, yet it is significantly lower than their correlations with KSE 100 returns. Since their inception, all the three markets have come a long way. The development in KSE can be gauged by the indicators in table 2. These indicators include market capitalization, listed capital, average daily turnover and Index value. All these indicators present an upward trend. The most significant of these is the KSE 100 index and it represents an increase of 21% from 2005 to 2007. However, the daily fluctuations do not present a very rosy picture and as mentioned earlier the market returns are highly volatile. Since it is obvious that KSE represents the major chunk of financial activities in Pakistan, we will just consider KSE for our analysis.</w:t>
      </w:r>
    </w:p>
    <w:p w:rsidR="006D3DDF" w:rsidRPr="006D3DDF" w:rsidRDefault="006D3DDF" w:rsidP="0093285A">
      <w:pPr>
        <w:jc w:val="both"/>
        <w:rPr>
          <w:sz w:val="18"/>
          <w:szCs w:val="20"/>
        </w:rPr>
      </w:pPr>
    </w:p>
    <w:p w:rsidR="006D3DDF" w:rsidRPr="0093285A" w:rsidRDefault="006D3DDF" w:rsidP="006D3DDF">
      <w:pPr>
        <w:jc w:val="both"/>
        <w:rPr>
          <w:sz w:val="20"/>
          <w:szCs w:val="20"/>
        </w:rPr>
      </w:pPr>
      <w:r w:rsidRPr="0093285A">
        <w:rPr>
          <w:sz w:val="20"/>
          <w:szCs w:val="20"/>
        </w:rPr>
        <w:t>The reforms in Pakistan’s Stock Exchanges took place in 90s and areas like risk management, governance, transparency and investors protection were improved. The outcome of these reforms should be a reduction in volatility but actually in the post reform era, despite an increase in market depth, the volatility has increased. The successive bear traps resulted in the exit of many small investors. Securities and Exchange Commission of Pakistan (SECP) came into the scene but the watch dog faced serious resistance from the market players, thereby increasing the uncertainty of the situation. The major step of SECP to counter excessive volatility was the introduction of circuit breakers in 2001. The circuit breakers are responsible to control excessive volatility by halting trade. The inclusion of circuit breakers is expected to neutralize trade by providing cooling off period during highly uncertain markets thus preventing investors from panic. However, in Pakistan’s case these circuit breakers worsened the situation. During the March 2005 crisis, investors were unable to square their positions since major stocks opened at the lower limit leaving no room for trade. There were negligible trades for a whole week and investors using margin financing were forced to hold their inventories thus paying higher margin costs. Thus, the circuit breakers might cause liquidity problems restricting the sellers from executing sale orders since no buyer will be willing to buy on the lower limit in an anticipation of further price decline.</w:t>
      </w:r>
    </w:p>
    <w:p w:rsidR="006D3DDF" w:rsidRPr="0093285A" w:rsidRDefault="006D3DDF" w:rsidP="006D3DDF">
      <w:pPr>
        <w:jc w:val="both"/>
        <w:rPr>
          <w:sz w:val="20"/>
          <w:szCs w:val="20"/>
        </w:rPr>
      </w:pPr>
    </w:p>
    <w:p w:rsidR="006D3DDF" w:rsidRDefault="006D3DDF" w:rsidP="006D3DDF">
      <w:pPr>
        <w:jc w:val="both"/>
        <w:rPr>
          <w:sz w:val="20"/>
          <w:szCs w:val="20"/>
        </w:rPr>
      </w:pPr>
      <w:r w:rsidRPr="0093285A">
        <w:rPr>
          <w:sz w:val="20"/>
          <w:szCs w:val="20"/>
        </w:rPr>
        <w:t>Since volatility plays an important role, it is important to identify the volatility pattern of market returns in Pakistan. The primary objective of this paper is to model the time varying volatility in Pakistan’s Stock Markets.</w:t>
      </w:r>
    </w:p>
    <w:p w:rsidR="006D3DDF" w:rsidRDefault="006D3DDF" w:rsidP="006D3DDF">
      <w:pPr>
        <w:jc w:val="both"/>
        <w:rPr>
          <w:sz w:val="20"/>
          <w:szCs w:val="20"/>
        </w:rPr>
        <w:sectPr w:rsidR="006D3DDF" w:rsidSect="006D3DDF">
          <w:headerReference w:type="default" r:id="rId13"/>
          <w:footerReference w:type="default" r:id="rId14"/>
          <w:headerReference w:type="first" r:id="rId15"/>
          <w:footerReference w:type="first" r:id="rId16"/>
          <w:type w:val="continuous"/>
          <w:pgSz w:w="12240" w:h="15840" w:code="1"/>
          <w:pgMar w:top="1440" w:right="749" w:bottom="1440" w:left="907" w:header="720" w:footer="720" w:gutter="0"/>
          <w:cols w:num="2" w:space="227"/>
          <w:docGrid w:linePitch="360"/>
        </w:sectPr>
      </w:pPr>
    </w:p>
    <w:p w:rsidR="006D3DDF" w:rsidRPr="0093285A" w:rsidRDefault="006D3DDF" w:rsidP="006D3DDF">
      <w:pPr>
        <w:jc w:val="both"/>
        <w:rPr>
          <w:b/>
          <w:sz w:val="20"/>
          <w:szCs w:val="20"/>
        </w:rPr>
      </w:pPr>
      <w:r w:rsidRPr="0093285A">
        <w:rPr>
          <w:sz w:val="20"/>
          <w:szCs w:val="20"/>
        </w:rPr>
        <w:t xml:space="preserve"> </w:t>
      </w:r>
      <w:r w:rsidRPr="0093285A">
        <w:rPr>
          <w:b/>
          <w:sz w:val="20"/>
          <w:szCs w:val="20"/>
        </w:rPr>
        <w:t xml:space="preserve">  </w:t>
      </w:r>
    </w:p>
    <w:p w:rsidR="006D3DDF" w:rsidRDefault="006D3DDF" w:rsidP="0093285A">
      <w:pPr>
        <w:jc w:val="both"/>
        <w:rPr>
          <w:sz w:val="20"/>
          <w:szCs w:val="20"/>
        </w:rPr>
      </w:pPr>
    </w:p>
    <w:p w:rsidR="0093285A" w:rsidRDefault="0093285A" w:rsidP="0093285A">
      <w:pPr>
        <w:jc w:val="center"/>
        <w:rPr>
          <w:b/>
          <w:bCs/>
          <w:sz w:val="20"/>
          <w:szCs w:val="20"/>
        </w:rPr>
      </w:pPr>
      <w:r w:rsidRPr="00542064">
        <w:rPr>
          <w:b/>
          <w:bCs/>
          <w:sz w:val="20"/>
          <w:szCs w:val="20"/>
        </w:rPr>
        <w:t>Table</w:t>
      </w:r>
      <w:r>
        <w:rPr>
          <w:b/>
          <w:bCs/>
          <w:sz w:val="20"/>
          <w:szCs w:val="20"/>
        </w:rPr>
        <w:t>-</w:t>
      </w:r>
      <w:r w:rsidRPr="00542064">
        <w:rPr>
          <w:b/>
          <w:bCs/>
          <w:sz w:val="20"/>
          <w:szCs w:val="20"/>
        </w:rPr>
        <w:t>2</w:t>
      </w:r>
    </w:p>
    <w:p w:rsidR="0093285A" w:rsidRDefault="0093285A" w:rsidP="0093285A">
      <w:pPr>
        <w:jc w:val="center"/>
        <w:rPr>
          <w:b/>
          <w:bCs/>
          <w:sz w:val="20"/>
          <w:szCs w:val="20"/>
        </w:rPr>
      </w:pPr>
      <w:r w:rsidRPr="00542064">
        <w:rPr>
          <w:b/>
          <w:bCs/>
          <w:sz w:val="20"/>
          <w:szCs w:val="20"/>
        </w:rPr>
        <w:t>Karachi Stock Exchange at a Glance</w:t>
      </w:r>
    </w:p>
    <w:tbl>
      <w:tblPr>
        <w:tblStyle w:val="TableGrid"/>
        <w:tblW w:w="0" w:type="auto"/>
        <w:tblInd w:w="108" w:type="dxa"/>
        <w:tblLook w:val="04A0"/>
      </w:tblPr>
      <w:tblGrid>
        <w:gridCol w:w="2835"/>
        <w:gridCol w:w="1985"/>
        <w:gridCol w:w="1417"/>
        <w:gridCol w:w="1389"/>
        <w:gridCol w:w="1266"/>
        <w:gridCol w:w="1598"/>
      </w:tblGrid>
      <w:tr w:rsidR="0093285A" w:rsidTr="0093285A">
        <w:tc>
          <w:tcPr>
            <w:tcW w:w="2835" w:type="dxa"/>
          </w:tcPr>
          <w:p w:rsidR="0093285A" w:rsidRDefault="0093285A" w:rsidP="0093285A">
            <w:pPr>
              <w:jc w:val="both"/>
              <w:rPr>
                <w:sz w:val="20"/>
                <w:szCs w:val="20"/>
              </w:rPr>
            </w:pPr>
          </w:p>
        </w:tc>
        <w:tc>
          <w:tcPr>
            <w:tcW w:w="1985" w:type="dxa"/>
            <w:vAlign w:val="bottom"/>
          </w:tcPr>
          <w:p w:rsidR="0093285A" w:rsidRPr="00542064" w:rsidRDefault="0093285A" w:rsidP="0093285A">
            <w:pPr>
              <w:jc w:val="center"/>
              <w:rPr>
                <w:b/>
                <w:bCs/>
                <w:sz w:val="20"/>
                <w:szCs w:val="20"/>
              </w:rPr>
            </w:pPr>
            <w:r w:rsidRPr="00542064">
              <w:rPr>
                <w:b/>
                <w:bCs/>
                <w:sz w:val="20"/>
                <w:szCs w:val="20"/>
              </w:rPr>
              <w:t>2006</w:t>
            </w:r>
          </w:p>
        </w:tc>
        <w:tc>
          <w:tcPr>
            <w:tcW w:w="1417" w:type="dxa"/>
            <w:vAlign w:val="bottom"/>
          </w:tcPr>
          <w:p w:rsidR="0093285A" w:rsidRPr="00542064" w:rsidRDefault="0093285A" w:rsidP="0093285A">
            <w:pPr>
              <w:jc w:val="center"/>
              <w:rPr>
                <w:b/>
                <w:bCs/>
                <w:sz w:val="20"/>
                <w:szCs w:val="20"/>
              </w:rPr>
            </w:pPr>
            <w:r w:rsidRPr="00542064">
              <w:rPr>
                <w:b/>
                <w:bCs/>
                <w:sz w:val="20"/>
                <w:szCs w:val="20"/>
              </w:rPr>
              <w:t>2007</w:t>
            </w:r>
          </w:p>
        </w:tc>
        <w:tc>
          <w:tcPr>
            <w:tcW w:w="1389" w:type="dxa"/>
            <w:vAlign w:val="bottom"/>
          </w:tcPr>
          <w:p w:rsidR="0093285A" w:rsidRPr="00542064" w:rsidRDefault="0093285A" w:rsidP="0093285A">
            <w:pPr>
              <w:jc w:val="center"/>
              <w:rPr>
                <w:b/>
                <w:bCs/>
                <w:sz w:val="20"/>
                <w:szCs w:val="20"/>
              </w:rPr>
            </w:pPr>
            <w:r w:rsidRPr="00542064">
              <w:rPr>
                <w:b/>
                <w:bCs/>
                <w:sz w:val="20"/>
                <w:szCs w:val="20"/>
              </w:rPr>
              <w:t>2008</w:t>
            </w:r>
          </w:p>
        </w:tc>
        <w:tc>
          <w:tcPr>
            <w:tcW w:w="1266" w:type="dxa"/>
            <w:vAlign w:val="bottom"/>
          </w:tcPr>
          <w:p w:rsidR="0093285A" w:rsidRPr="00542064" w:rsidRDefault="0093285A" w:rsidP="0093285A">
            <w:pPr>
              <w:jc w:val="center"/>
              <w:rPr>
                <w:b/>
                <w:bCs/>
                <w:sz w:val="20"/>
                <w:szCs w:val="20"/>
              </w:rPr>
            </w:pPr>
            <w:r w:rsidRPr="00542064">
              <w:rPr>
                <w:b/>
                <w:bCs/>
                <w:sz w:val="20"/>
                <w:szCs w:val="20"/>
              </w:rPr>
              <w:t>2009</w:t>
            </w:r>
          </w:p>
        </w:tc>
        <w:tc>
          <w:tcPr>
            <w:tcW w:w="1598" w:type="dxa"/>
            <w:vAlign w:val="bottom"/>
          </w:tcPr>
          <w:p w:rsidR="0093285A" w:rsidRPr="00542064" w:rsidRDefault="0093285A" w:rsidP="0093285A">
            <w:pPr>
              <w:jc w:val="center"/>
              <w:rPr>
                <w:b/>
                <w:bCs/>
                <w:sz w:val="20"/>
                <w:szCs w:val="20"/>
              </w:rPr>
            </w:pPr>
            <w:r w:rsidRPr="00542064">
              <w:rPr>
                <w:b/>
                <w:bCs/>
                <w:sz w:val="20"/>
                <w:szCs w:val="20"/>
              </w:rPr>
              <w:t>2010</w:t>
            </w:r>
          </w:p>
        </w:tc>
      </w:tr>
      <w:tr w:rsidR="0093285A" w:rsidTr="0093285A">
        <w:tc>
          <w:tcPr>
            <w:tcW w:w="10490" w:type="dxa"/>
            <w:gridSpan w:val="6"/>
          </w:tcPr>
          <w:p w:rsidR="0093285A" w:rsidRDefault="0093285A" w:rsidP="0093285A">
            <w:pPr>
              <w:jc w:val="center"/>
              <w:rPr>
                <w:sz w:val="20"/>
                <w:szCs w:val="20"/>
              </w:rPr>
            </w:pPr>
            <w:r w:rsidRPr="00542064">
              <w:rPr>
                <w:b/>
                <w:bCs/>
                <w:sz w:val="20"/>
                <w:szCs w:val="20"/>
              </w:rPr>
              <w:t>Equities</w:t>
            </w:r>
          </w:p>
        </w:tc>
      </w:tr>
      <w:tr w:rsidR="0093285A" w:rsidTr="0093285A">
        <w:tc>
          <w:tcPr>
            <w:tcW w:w="2835" w:type="dxa"/>
            <w:vAlign w:val="bottom"/>
          </w:tcPr>
          <w:p w:rsidR="0093285A" w:rsidRPr="00542064" w:rsidRDefault="0093285A" w:rsidP="006D3DDF">
            <w:pPr>
              <w:spacing w:line="360" w:lineRule="auto"/>
              <w:rPr>
                <w:sz w:val="20"/>
                <w:szCs w:val="20"/>
              </w:rPr>
            </w:pPr>
            <w:r w:rsidRPr="00542064">
              <w:rPr>
                <w:sz w:val="20"/>
                <w:szCs w:val="20"/>
              </w:rPr>
              <w:t>Listed Companies</w:t>
            </w:r>
          </w:p>
        </w:tc>
        <w:tc>
          <w:tcPr>
            <w:tcW w:w="1985" w:type="dxa"/>
            <w:vAlign w:val="bottom"/>
          </w:tcPr>
          <w:p w:rsidR="0093285A" w:rsidRPr="00542064" w:rsidRDefault="0093285A" w:rsidP="006D3DDF">
            <w:pPr>
              <w:spacing w:line="360" w:lineRule="auto"/>
              <w:jc w:val="right"/>
              <w:rPr>
                <w:sz w:val="20"/>
                <w:szCs w:val="20"/>
              </w:rPr>
            </w:pPr>
            <w:r w:rsidRPr="00542064">
              <w:rPr>
                <w:sz w:val="20"/>
                <w:szCs w:val="20"/>
              </w:rPr>
              <w:t>651</w:t>
            </w:r>
          </w:p>
        </w:tc>
        <w:tc>
          <w:tcPr>
            <w:tcW w:w="1417" w:type="dxa"/>
            <w:vAlign w:val="bottom"/>
          </w:tcPr>
          <w:p w:rsidR="0093285A" w:rsidRPr="00542064" w:rsidRDefault="0093285A" w:rsidP="006D3DDF">
            <w:pPr>
              <w:spacing w:line="360" w:lineRule="auto"/>
              <w:jc w:val="right"/>
              <w:rPr>
                <w:sz w:val="20"/>
                <w:szCs w:val="20"/>
              </w:rPr>
            </w:pPr>
            <w:r w:rsidRPr="00542064">
              <w:rPr>
                <w:sz w:val="20"/>
                <w:szCs w:val="20"/>
              </w:rPr>
              <w:t>654</w:t>
            </w:r>
          </w:p>
        </w:tc>
        <w:tc>
          <w:tcPr>
            <w:tcW w:w="1389" w:type="dxa"/>
            <w:vAlign w:val="bottom"/>
          </w:tcPr>
          <w:p w:rsidR="0093285A" w:rsidRPr="00542064" w:rsidRDefault="0093285A" w:rsidP="006D3DDF">
            <w:pPr>
              <w:spacing w:line="360" w:lineRule="auto"/>
              <w:jc w:val="right"/>
              <w:rPr>
                <w:sz w:val="20"/>
                <w:szCs w:val="20"/>
              </w:rPr>
            </w:pPr>
            <w:r w:rsidRPr="00542064">
              <w:rPr>
                <w:sz w:val="20"/>
                <w:szCs w:val="20"/>
              </w:rPr>
              <w:t>653</w:t>
            </w:r>
          </w:p>
        </w:tc>
        <w:tc>
          <w:tcPr>
            <w:tcW w:w="1266" w:type="dxa"/>
            <w:vAlign w:val="bottom"/>
          </w:tcPr>
          <w:p w:rsidR="0093285A" w:rsidRPr="00542064" w:rsidRDefault="0093285A" w:rsidP="006D3DDF">
            <w:pPr>
              <w:spacing w:line="360" w:lineRule="auto"/>
              <w:jc w:val="right"/>
              <w:rPr>
                <w:sz w:val="20"/>
                <w:szCs w:val="20"/>
              </w:rPr>
            </w:pPr>
            <w:r w:rsidRPr="00542064">
              <w:rPr>
                <w:sz w:val="20"/>
                <w:szCs w:val="20"/>
              </w:rPr>
              <w:t>651</w:t>
            </w:r>
          </w:p>
        </w:tc>
        <w:tc>
          <w:tcPr>
            <w:tcW w:w="1598" w:type="dxa"/>
            <w:vAlign w:val="bottom"/>
          </w:tcPr>
          <w:p w:rsidR="0093285A" w:rsidRPr="00542064" w:rsidRDefault="0093285A" w:rsidP="006D3DDF">
            <w:pPr>
              <w:spacing w:line="360" w:lineRule="auto"/>
              <w:jc w:val="right"/>
              <w:rPr>
                <w:sz w:val="20"/>
                <w:szCs w:val="20"/>
              </w:rPr>
            </w:pPr>
            <w:r w:rsidRPr="00542064">
              <w:rPr>
                <w:sz w:val="20"/>
                <w:szCs w:val="20"/>
              </w:rPr>
              <w:t>644</w:t>
            </w:r>
          </w:p>
        </w:tc>
      </w:tr>
      <w:tr w:rsidR="0093285A" w:rsidTr="0093285A">
        <w:tc>
          <w:tcPr>
            <w:tcW w:w="2835" w:type="dxa"/>
            <w:vAlign w:val="bottom"/>
          </w:tcPr>
          <w:p w:rsidR="0093285A" w:rsidRPr="00542064" w:rsidRDefault="0093285A" w:rsidP="006D3DDF">
            <w:pPr>
              <w:spacing w:line="360" w:lineRule="auto"/>
              <w:rPr>
                <w:sz w:val="20"/>
                <w:szCs w:val="20"/>
              </w:rPr>
            </w:pPr>
            <w:r w:rsidRPr="00542064">
              <w:rPr>
                <w:sz w:val="20"/>
                <w:szCs w:val="20"/>
              </w:rPr>
              <w:t>Listed Capital (Rs in million)</w:t>
            </w:r>
          </w:p>
        </w:tc>
        <w:tc>
          <w:tcPr>
            <w:tcW w:w="1985" w:type="dxa"/>
            <w:vAlign w:val="bottom"/>
          </w:tcPr>
          <w:p w:rsidR="0093285A" w:rsidRPr="00542064" w:rsidRDefault="0093285A" w:rsidP="006D3DDF">
            <w:pPr>
              <w:spacing w:line="360" w:lineRule="auto"/>
              <w:jc w:val="right"/>
              <w:rPr>
                <w:sz w:val="20"/>
                <w:szCs w:val="20"/>
              </w:rPr>
            </w:pPr>
            <w:r w:rsidRPr="00542064">
              <w:rPr>
                <w:sz w:val="20"/>
                <w:szCs w:val="20"/>
              </w:rPr>
              <w:t>515,029.54</w:t>
            </w:r>
          </w:p>
        </w:tc>
        <w:tc>
          <w:tcPr>
            <w:tcW w:w="1417" w:type="dxa"/>
            <w:vAlign w:val="bottom"/>
          </w:tcPr>
          <w:p w:rsidR="0093285A" w:rsidRPr="00542064" w:rsidRDefault="0093285A" w:rsidP="006D3DDF">
            <w:pPr>
              <w:spacing w:line="360" w:lineRule="auto"/>
              <w:jc w:val="right"/>
              <w:rPr>
                <w:sz w:val="20"/>
                <w:szCs w:val="20"/>
              </w:rPr>
            </w:pPr>
            <w:r w:rsidRPr="00542064">
              <w:rPr>
                <w:sz w:val="20"/>
                <w:szCs w:val="20"/>
              </w:rPr>
              <w:t>671,269.47</w:t>
            </w:r>
          </w:p>
        </w:tc>
        <w:tc>
          <w:tcPr>
            <w:tcW w:w="1389" w:type="dxa"/>
            <w:vAlign w:val="bottom"/>
          </w:tcPr>
          <w:p w:rsidR="0093285A" w:rsidRPr="00542064" w:rsidRDefault="0093285A" w:rsidP="006D3DDF">
            <w:pPr>
              <w:spacing w:line="360" w:lineRule="auto"/>
              <w:jc w:val="right"/>
              <w:rPr>
                <w:sz w:val="20"/>
                <w:szCs w:val="20"/>
              </w:rPr>
            </w:pPr>
            <w:r w:rsidRPr="00542064">
              <w:rPr>
                <w:sz w:val="20"/>
                <w:szCs w:val="20"/>
              </w:rPr>
              <w:t>750,477.55</w:t>
            </w:r>
          </w:p>
        </w:tc>
        <w:tc>
          <w:tcPr>
            <w:tcW w:w="1266" w:type="dxa"/>
            <w:vAlign w:val="bottom"/>
          </w:tcPr>
          <w:p w:rsidR="0093285A" w:rsidRPr="00542064" w:rsidRDefault="0093285A" w:rsidP="006D3DDF">
            <w:pPr>
              <w:spacing w:line="360" w:lineRule="auto"/>
              <w:jc w:val="right"/>
              <w:rPr>
                <w:sz w:val="20"/>
                <w:szCs w:val="20"/>
              </w:rPr>
            </w:pPr>
            <w:r w:rsidRPr="00542064">
              <w:rPr>
                <w:sz w:val="20"/>
                <w:szCs w:val="20"/>
              </w:rPr>
              <w:t>814,478.74</w:t>
            </w:r>
          </w:p>
        </w:tc>
        <w:tc>
          <w:tcPr>
            <w:tcW w:w="1598" w:type="dxa"/>
            <w:vAlign w:val="bottom"/>
          </w:tcPr>
          <w:p w:rsidR="0093285A" w:rsidRPr="00542064" w:rsidRDefault="0093285A" w:rsidP="006D3DDF">
            <w:pPr>
              <w:spacing w:line="360" w:lineRule="auto"/>
              <w:jc w:val="right"/>
              <w:rPr>
                <w:sz w:val="20"/>
                <w:szCs w:val="20"/>
              </w:rPr>
            </w:pPr>
            <w:r w:rsidRPr="00542064">
              <w:rPr>
                <w:sz w:val="20"/>
                <w:szCs w:val="20"/>
              </w:rPr>
              <w:t>919,161.26</w:t>
            </w:r>
          </w:p>
        </w:tc>
      </w:tr>
      <w:tr w:rsidR="0093285A" w:rsidTr="0093285A">
        <w:tc>
          <w:tcPr>
            <w:tcW w:w="2835" w:type="dxa"/>
            <w:vAlign w:val="bottom"/>
          </w:tcPr>
          <w:p w:rsidR="0093285A" w:rsidRPr="00542064" w:rsidRDefault="0093285A" w:rsidP="006D3DDF">
            <w:pPr>
              <w:spacing w:line="360" w:lineRule="auto"/>
              <w:rPr>
                <w:sz w:val="20"/>
                <w:szCs w:val="20"/>
              </w:rPr>
            </w:pPr>
            <w:r w:rsidRPr="00542064">
              <w:rPr>
                <w:sz w:val="20"/>
                <w:szCs w:val="20"/>
              </w:rPr>
              <w:t>Market Capitalization (million)</w:t>
            </w:r>
          </w:p>
        </w:tc>
        <w:tc>
          <w:tcPr>
            <w:tcW w:w="1985" w:type="dxa"/>
            <w:vAlign w:val="bottom"/>
          </w:tcPr>
          <w:p w:rsidR="0093285A" w:rsidRPr="00542064" w:rsidRDefault="0093285A" w:rsidP="006D3DDF">
            <w:pPr>
              <w:spacing w:line="360" w:lineRule="auto"/>
              <w:jc w:val="right"/>
              <w:rPr>
                <w:sz w:val="20"/>
                <w:szCs w:val="20"/>
              </w:rPr>
            </w:pPr>
            <w:r w:rsidRPr="00542064">
              <w:rPr>
                <w:sz w:val="20"/>
                <w:szCs w:val="20"/>
              </w:rPr>
              <w:t>2,766,583.84</w:t>
            </w:r>
          </w:p>
        </w:tc>
        <w:tc>
          <w:tcPr>
            <w:tcW w:w="1417" w:type="dxa"/>
            <w:vAlign w:val="bottom"/>
          </w:tcPr>
          <w:p w:rsidR="0093285A" w:rsidRPr="00542064" w:rsidRDefault="0093285A" w:rsidP="006D3DDF">
            <w:pPr>
              <w:spacing w:line="360" w:lineRule="auto"/>
              <w:jc w:val="right"/>
              <w:rPr>
                <w:sz w:val="20"/>
                <w:szCs w:val="20"/>
              </w:rPr>
            </w:pPr>
            <w:r w:rsidRPr="00542064">
              <w:rPr>
                <w:sz w:val="20"/>
                <w:szCs w:val="20"/>
              </w:rPr>
              <w:t>4,329,909.79</w:t>
            </w:r>
          </w:p>
        </w:tc>
        <w:tc>
          <w:tcPr>
            <w:tcW w:w="1389" w:type="dxa"/>
            <w:vAlign w:val="bottom"/>
          </w:tcPr>
          <w:p w:rsidR="0093285A" w:rsidRPr="00542064" w:rsidRDefault="0093285A" w:rsidP="006D3DDF">
            <w:pPr>
              <w:spacing w:line="360" w:lineRule="auto"/>
              <w:jc w:val="right"/>
              <w:rPr>
                <w:sz w:val="20"/>
                <w:szCs w:val="20"/>
              </w:rPr>
            </w:pPr>
            <w:r w:rsidRPr="00542064">
              <w:rPr>
                <w:sz w:val="20"/>
                <w:szCs w:val="20"/>
              </w:rPr>
              <w:t>1,858,698.90</w:t>
            </w:r>
          </w:p>
        </w:tc>
        <w:tc>
          <w:tcPr>
            <w:tcW w:w="1266" w:type="dxa"/>
            <w:vAlign w:val="bottom"/>
          </w:tcPr>
          <w:p w:rsidR="0093285A" w:rsidRPr="00542064" w:rsidRDefault="0093285A" w:rsidP="006D3DDF">
            <w:pPr>
              <w:spacing w:line="360" w:lineRule="auto"/>
              <w:jc w:val="right"/>
              <w:rPr>
                <w:sz w:val="20"/>
                <w:szCs w:val="20"/>
              </w:rPr>
            </w:pPr>
            <w:r w:rsidRPr="00542064">
              <w:rPr>
                <w:sz w:val="20"/>
                <w:szCs w:val="20"/>
              </w:rPr>
              <w:t>2,705,879.83</w:t>
            </w:r>
          </w:p>
        </w:tc>
        <w:tc>
          <w:tcPr>
            <w:tcW w:w="1598" w:type="dxa"/>
            <w:vAlign w:val="bottom"/>
          </w:tcPr>
          <w:p w:rsidR="0093285A" w:rsidRPr="00542064" w:rsidRDefault="0093285A" w:rsidP="006D3DDF">
            <w:pPr>
              <w:spacing w:line="360" w:lineRule="auto"/>
              <w:jc w:val="right"/>
              <w:rPr>
                <w:sz w:val="20"/>
                <w:szCs w:val="20"/>
              </w:rPr>
            </w:pPr>
            <w:r w:rsidRPr="00542064">
              <w:rPr>
                <w:sz w:val="20"/>
                <w:szCs w:val="20"/>
              </w:rPr>
              <w:t>3,268,948.59</w:t>
            </w:r>
          </w:p>
        </w:tc>
      </w:tr>
      <w:tr w:rsidR="0093285A" w:rsidTr="0093285A">
        <w:tc>
          <w:tcPr>
            <w:tcW w:w="2835" w:type="dxa"/>
            <w:vAlign w:val="bottom"/>
          </w:tcPr>
          <w:p w:rsidR="0093285A" w:rsidRPr="00542064" w:rsidRDefault="0093285A" w:rsidP="006D3DDF">
            <w:pPr>
              <w:spacing w:line="360" w:lineRule="auto"/>
              <w:rPr>
                <w:sz w:val="20"/>
                <w:szCs w:val="20"/>
              </w:rPr>
            </w:pPr>
            <w:r w:rsidRPr="00542064">
              <w:rPr>
                <w:sz w:val="20"/>
                <w:szCs w:val="20"/>
              </w:rPr>
              <w:t>New Companies Listed</w:t>
            </w:r>
          </w:p>
        </w:tc>
        <w:tc>
          <w:tcPr>
            <w:tcW w:w="1985" w:type="dxa"/>
            <w:vAlign w:val="bottom"/>
          </w:tcPr>
          <w:p w:rsidR="0093285A" w:rsidRPr="00542064" w:rsidRDefault="0093285A" w:rsidP="006D3DDF">
            <w:pPr>
              <w:spacing w:line="360" w:lineRule="auto"/>
              <w:jc w:val="right"/>
              <w:rPr>
                <w:sz w:val="20"/>
                <w:szCs w:val="20"/>
              </w:rPr>
            </w:pPr>
            <w:r w:rsidRPr="00542064">
              <w:rPr>
                <w:sz w:val="20"/>
                <w:szCs w:val="20"/>
              </w:rPr>
              <w:t>9</w:t>
            </w:r>
          </w:p>
        </w:tc>
        <w:tc>
          <w:tcPr>
            <w:tcW w:w="1417" w:type="dxa"/>
            <w:vAlign w:val="bottom"/>
          </w:tcPr>
          <w:p w:rsidR="0093285A" w:rsidRPr="00542064" w:rsidRDefault="0093285A" w:rsidP="006D3DDF">
            <w:pPr>
              <w:spacing w:line="360" w:lineRule="auto"/>
              <w:jc w:val="right"/>
              <w:rPr>
                <w:sz w:val="20"/>
                <w:szCs w:val="20"/>
              </w:rPr>
            </w:pPr>
            <w:r w:rsidRPr="00542064">
              <w:rPr>
                <w:sz w:val="20"/>
                <w:szCs w:val="20"/>
              </w:rPr>
              <w:t>14</w:t>
            </w:r>
          </w:p>
        </w:tc>
        <w:tc>
          <w:tcPr>
            <w:tcW w:w="1389" w:type="dxa"/>
            <w:vAlign w:val="bottom"/>
          </w:tcPr>
          <w:p w:rsidR="0093285A" w:rsidRPr="00542064" w:rsidRDefault="0093285A" w:rsidP="006D3DDF">
            <w:pPr>
              <w:spacing w:line="360" w:lineRule="auto"/>
              <w:jc w:val="right"/>
              <w:rPr>
                <w:sz w:val="20"/>
                <w:szCs w:val="20"/>
              </w:rPr>
            </w:pPr>
            <w:r w:rsidRPr="00542064">
              <w:rPr>
                <w:sz w:val="20"/>
                <w:szCs w:val="20"/>
              </w:rPr>
              <w:t>10</w:t>
            </w:r>
          </w:p>
        </w:tc>
        <w:tc>
          <w:tcPr>
            <w:tcW w:w="1266" w:type="dxa"/>
            <w:vAlign w:val="bottom"/>
          </w:tcPr>
          <w:p w:rsidR="0093285A" w:rsidRPr="00542064" w:rsidRDefault="0093285A" w:rsidP="006D3DDF">
            <w:pPr>
              <w:spacing w:line="360" w:lineRule="auto"/>
              <w:jc w:val="right"/>
              <w:rPr>
                <w:sz w:val="20"/>
                <w:szCs w:val="20"/>
              </w:rPr>
            </w:pPr>
            <w:r w:rsidRPr="00542064">
              <w:rPr>
                <w:sz w:val="20"/>
                <w:szCs w:val="20"/>
              </w:rPr>
              <w:t>4</w:t>
            </w:r>
          </w:p>
        </w:tc>
        <w:tc>
          <w:tcPr>
            <w:tcW w:w="1598" w:type="dxa"/>
            <w:vAlign w:val="bottom"/>
          </w:tcPr>
          <w:p w:rsidR="0093285A" w:rsidRPr="00542064" w:rsidRDefault="0093285A" w:rsidP="006D3DDF">
            <w:pPr>
              <w:spacing w:line="360" w:lineRule="auto"/>
              <w:jc w:val="right"/>
              <w:rPr>
                <w:sz w:val="20"/>
                <w:szCs w:val="20"/>
              </w:rPr>
            </w:pPr>
            <w:r w:rsidRPr="00542064">
              <w:rPr>
                <w:sz w:val="20"/>
                <w:szCs w:val="20"/>
              </w:rPr>
              <w:t>6</w:t>
            </w:r>
          </w:p>
        </w:tc>
      </w:tr>
      <w:tr w:rsidR="0093285A" w:rsidTr="0093285A">
        <w:tc>
          <w:tcPr>
            <w:tcW w:w="2835" w:type="dxa"/>
            <w:vAlign w:val="bottom"/>
          </w:tcPr>
          <w:p w:rsidR="0093285A" w:rsidRPr="00542064" w:rsidRDefault="0093285A" w:rsidP="006D3DDF">
            <w:pPr>
              <w:spacing w:line="360" w:lineRule="auto"/>
              <w:rPr>
                <w:sz w:val="20"/>
                <w:szCs w:val="20"/>
              </w:rPr>
            </w:pPr>
            <w:r w:rsidRPr="00542064">
              <w:rPr>
                <w:sz w:val="20"/>
                <w:szCs w:val="20"/>
              </w:rPr>
              <w:t>Listed Capital (in million)</w:t>
            </w:r>
          </w:p>
        </w:tc>
        <w:tc>
          <w:tcPr>
            <w:tcW w:w="1985" w:type="dxa"/>
            <w:vAlign w:val="bottom"/>
          </w:tcPr>
          <w:p w:rsidR="0093285A" w:rsidRPr="00542064" w:rsidRDefault="0093285A" w:rsidP="006D3DDF">
            <w:pPr>
              <w:spacing w:line="360" w:lineRule="auto"/>
              <w:jc w:val="right"/>
              <w:rPr>
                <w:sz w:val="20"/>
                <w:szCs w:val="20"/>
              </w:rPr>
            </w:pPr>
            <w:r w:rsidRPr="00542064">
              <w:rPr>
                <w:sz w:val="20"/>
                <w:szCs w:val="20"/>
              </w:rPr>
              <w:t>14,789.76</w:t>
            </w:r>
          </w:p>
        </w:tc>
        <w:tc>
          <w:tcPr>
            <w:tcW w:w="1417" w:type="dxa"/>
            <w:vAlign w:val="bottom"/>
          </w:tcPr>
          <w:p w:rsidR="0093285A" w:rsidRPr="00542064" w:rsidRDefault="0093285A" w:rsidP="006D3DDF">
            <w:pPr>
              <w:spacing w:line="360" w:lineRule="auto"/>
              <w:jc w:val="right"/>
              <w:rPr>
                <w:sz w:val="20"/>
                <w:szCs w:val="20"/>
              </w:rPr>
            </w:pPr>
            <w:r w:rsidRPr="00542064">
              <w:rPr>
                <w:sz w:val="20"/>
                <w:szCs w:val="20"/>
              </w:rPr>
              <w:t>57,239.93</w:t>
            </w:r>
          </w:p>
        </w:tc>
        <w:tc>
          <w:tcPr>
            <w:tcW w:w="1389" w:type="dxa"/>
            <w:vAlign w:val="bottom"/>
          </w:tcPr>
          <w:p w:rsidR="0093285A" w:rsidRPr="00542064" w:rsidRDefault="0093285A" w:rsidP="006D3DDF">
            <w:pPr>
              <w:spacing w:line="360" w:lineRule="auto"/>
              <w:jc w:val="right"/>
              <w:rPr>
                <w:sz w:val="20"/>
                <w:szCs w:val="20"/>
              </w:rPr>
            </w:pPr>
            <w:r w:rsidRPr="00542064">
              <w:rPr>
                <w:sz w:val="20"/>
                <w:szCs w:val="20"/>
              </w:rPr>
              <w:t>15,312.12</w:t>
            </w:r>
          </w:p>
        </w:tc>
        <w:tc>
          <w:tcPr>
            <w:tcW w:w="1266" w:type="dxa"/>
            <w:vAlign w:val="bottom"/>
          </w:tcPr>
          <w:p w:rsidR="0093285A" w:rsidRPr="00542064" w:rsidRDefault="0093285A" w:rsidP="006D3DDF">
            <w:pPr>
              <w:spacing w:line="360" w:lineRule="auto"/>
              <w:jc w:val="right"/>
              <w:rPr>
                <w:sz w:val="20"/>
                <w:szCs w:val="20"/>
              </w:rPr>
            </w:pPr>
            <w:r w:rsidRPr="00542064">
              <w:rPr>
                <w:sz w:val="20"/>
                <w:szCs w:val="20"/>
              </w:rPr>
              <w:t>8,755.74</w:t>
            </w:r>
          </w:p>
        </w:tc>
        <w:tc>
          <w:tcPr>
            <w:tcW w:w="1598" w:type="dxa"/>
            <w:vAlign w:val="bottom"/>
          </w:tcPr>
          <w:p w:rsidR="0093285A" w:rsidRPr="00542064" w:rsidRDefault="0093285A" w:rsidP="006D3DDF">
            <w:pPr>
              <w:spacing w:line="360" w:lineRule="auto"/>
              <w:jc w:val="right"/>
              <w:rPr>
                <w:sz w:val="20"/>
                <w:szCs w:val="20"/>
              </w:rPr>
            </w:pPr>
            <w:r w:rsidRPr="00542064">
              <w:rPr>
                <w:sz w:val="20"/>
                <w:szCs w:val="20"/>
              </w:rPr>
              <w:t>33,438.45</w:t>
            </w:r>
          </w:p>
        </w:tc>
      </w:tr>
      <w:tr w:rsidR="0093285A" w:rsidTr="0093285A">
        <w:tc>
          <w:tcPr>
            <w:tcW w:w="10490" w:type="dxa"/>
            <w:gridSpan w:val="6"/>
            <w:vAlign w:val="bottom"/>
          </w:tcPr>
          <w:p w:rsidR="0093285A" w:rsidRPr="00542064" w:rsidRDefault="0093285A" w:rsidP="006D3DDF">
            <w:pPr>
              <w:spacing w:line="360" w:lineRule="auto"/>
              <w:jc w:val="center"/>
              <w:rPr>
                <w:sz w:val="20"/>
                <w:szCs w:val="20"/>
              </w:rPr>
            </w:pPr>
            <w:r w:rsidRPr="00542064">
              <w:rPr>
                <w:b/>
                <w:bCs/>
                <w:sz w:val="20"/>
                <w:szCs w:val="20"/>
              </w:rPr>
              <w:t>KSE – 100 INDEX</w:t>
            </w:r>
          </w:p>
        </w:tc>
      </w:tr>
      <w:tr w:rsidR="0093285A" w:rsidTr="0093285A">
        <w:tc>
          <w:tcPr>
            <w:tcW w:w="2835" w:type="dxa"/>
            <w:vAlign w:val="bottom"/>
          </w:tcPr>
          <w:p w:rsidR="0093285A" w:rsidRPr="00542064" w:rsidRDefault="0093285A" w:rsidP="006D3DDF">
            <w:pPr>
              <w:spacing w:line="360" w:lineRule="auto"/>
              <w:rPr>
                <w:sz w:val="20"/>
                <w:szCs w:val="20"/>
              </w:rPr>
            </w:pPr>
            <w:r w:rsidRPr="00542064">
              <w:rPr>
                <w:sz w:val="20"/>
                <w:szCs w:val="20"/>
              </w:rPr>
              <w:t>High</w:t>
            </w:r>
          </w:p>
        </w:tc>
        <w:tc>
          <w:tcPr>
            <w:tcW w:w="1985" w:type="dxa"/>
            <w:vAlign w:val="bottom"/>
          </w:tcPr>
          <w:p w:rsidR="0093285A" w:rsidRPr="00542064" w:rsidRDefault="0093285A" w:rsidP="006D3DDF">
            <w:pPr>
              <w:spacing w:line="360" w:lineRule="auto"/>
              <w:jc w:val="center"/>
              <w:rPr>
                <w:sz w:val="20"/>
                <w:szCs w:val="20"/>
              </w:rPr>
            </w:pPr>
            <w:r w:rsidRPr="00542064">
              <w:rPr>
                <w:sz w:val="20"/>
                <w:szCs w:val="20"/>
              </w:rPr>
              <w:t>12273.77</w:t>
            </w:r>
          </w:p>
        </w:tc>
        <w:tc>
          <w:tcPr>
            <w:tcW w:w="1417" w:type="dxa"/>
            <w:vAlign w:val="bottom"/>
          </w:tcPr>
          <w:p w:rsidR="0093285A" w:rsidRPr="00542064" w:rsidRDefault="0093285A" w:rsidP="006D3DDF">
            <w:pPr>
              <w:spacing w:line="360" w:lineRule="auto"/>
              <w:jc w:val="center"/>
              <w:rPr>
                <w:sz w:val="20"/>
                <w:szCs w:val="20"/>
              </w:rPr>
            </w:pPr>
            <w:r w:rsidRPr="00542064">
              <w:rPr>
                <w:sz w:val="20"/>
                <w:szCs w:val="20"/>
              </w:rPr>
              <w:t>14814.85</w:t>
            </w:r>
          </w:p>
        </w:tc>
        <w:tc>
          <w:tcPr>
            <w:tcW w:w="1389" w:type="dxa"/>
            <w:vAlign w:val="bottom"/>
          </w:tcPr>
          <w:p w:rsidR="0093285A" w:rsidRPr="00542064" w:rsidRDefault="0093285A" w:rsidP="006D3DDF">
            <w:pPr>
              <w:spacing w:line="360" w:lineRule="auto"/>
              <w:jc w:val="center"/>
              <w:rPr>
                <w:sz w:val="20"/>
                <w:szCs w:val="20"/>
              </w:rPr>
            </w:pPr>
            <w:r w:rsidRPr="00542064">
              <w:rPr>
                <w:sz w:val="20"/>
                <w:szCs w:val="20"/>
              </w:rPr>
              <w:t>15676.34</w:t>
            </w:r>
          </w:p>
        </w:tc>
        <w:tc>
          <w:tcPr>
            <w:tcW w:w="1266" w:type="dxa"/>
            <w:vAlign w:val="bottom"/>
          </w:tcPr>
          <w:p w:rsidR="0093285A" w:rsidRPr="00542064" w:rsidRDefault="0093285A" w:rsidP="006D3DDF">
            <w:pPr>
              <w:spacing w:line="360" w:lineRule="auto"/>
              <w:jc w:val="center"/>
              <w:rPr>
                <w:sz w:val="20"/>
                <w:szCs w:val="20"/>
              </w:rPr>
            </w:pPr>
            <w:r w:rsidRPr="00542064">
              <w:rPr>
                <w:sz w:val="20"/>
                <w:szCs w:val="20"/>
              </w:rPr>
              <w:t>9845.74</w:t>
            </w:r>
          </w:p>
        </w:tc>
        <w:tc>
          <w:tcPr>
            <w:tcW w:w="1598" w:type="dxa"/>
            <w:vAlign w:val="bottom"/>
          </w:tcPr>
          <w:p w:rsidR="0093285A" w:rsidRPr="00542064" w:rsidRDefault="0093285A" w:rsidP="006D3DDF">
            <w:pPr>
              <w:spacing w:line="360" w:lineRule="auto"/>
              <w:jc w:val="center"/>
              <w:rPr>
                <w:sz w:val="20"/>
                <w:szCs w:val="20"/>
              </w:rPr>
            </w:pPr>
            <w:r w:rsidRPr="00542064">
              <w:rPr>
                <w:sz w:val="20"/>
                <w:szCs w:val="20"/>
              </w:rPr>
              <w:t>12031.46</w:t>
            </w:r>
          </w:p>
        </w:tc>
      </w:tr>
      <w:tr w:rsidR="0093285A" w:rsidTr="0093285A">
        <w:tc>
          <w:tcPr>
            <w:tcW w:w="2835" w:type="dxa"/>
            <w:vAlign w:val="bottom"/>
          </w:tcPr>
          <w:p w:rsidR="0093285A" w:rsidRPr="00542064" w:rsidRDefault="0093285A" w:rsidP="006D3DDF">
            <w:pPr>
              <w:spacing w:line="360" w:lineRule="auto"/>
              <w:rPr>
                <w:sz w:val="20"/>
                <w:szCs w:val="20"/>
              </w:rPr>
            </w:pPr>
            <w:r w:rsidRPr="00542064">
              <w:rPr>
                <w:sz w:val="20"/>
                <w:szCs w:val="20"/>
              </w:rPr>
              <w:t>Low</w:t>
            </w:r>
          </w:p>
        </w:tc>
        <w:tc>
          <w:tcPr>
            <w:tcW w:w="1985" w:type="dxa"/>
            <w:vAlign w:val="bottom"/>
          </w:tcPr>
          <w:p w:rsidR="0093285A" w:rsidRPr="00542064" w:rsidRDefault="0093285A" w:rsidP="006D3DDF">
            <w:pPr>
              <w:spacing w:line="360" w:lineRule="auto"/>
              <w:jc w:val="center"/>
              <w:rPr>
                <w:sz w:val="20"/>
                <w:szCs w:val="20"/>
              </w:rPr>
            </w:pPr>
            <w:r w:rsidRPr="00542064">
              <w:rPr>
                <w:sz w:val="20"/>
                <w:szCs w:val="20"/>
              </w:rPr>
              <w:t>8766.98</w:t>
            </w:r>
          </w:p>
        </w:tc>
        <w:tc>
          <w:tcPr>
            <w:tcW w:w="1417" w:type="dxa"/>
            <w:vAlign w:val="bottom"/>
          </w:tcPr>
          <w:p w:rsidR="0093285A" w:rsidRPr="00542064" w:rsidRDefault="0093285A" w:rsidP="006D3DDF">
            <w:pPr>
              <w:spacing w:line="360" w:lineRule="auto"/>
              <w:jc w:val="center"/>
              <w:rPr>
                <w:sz w:val="20"/>
                <w:szCs w:val="20"/>
              </w:rPr>
            </w:pPr>
            <w:r w:rsidRPr="00542064">
              <w:rPr>
                <w:sz w:val="20"/>
                <w:szCs w:val="20"/>
              </w:rPr>
              <w:t>10066.32</w:t>
            </w:r>
          </w:p>
        </w:tc>
        <w:tc>
          <w:tcPr>
            <w:tcW w:w="1389" w:type="dxa"/>
            <w:vAlign w:val="bottom"/>
          </w:tcPr>
          <w:p w:rsidR="0093285A" w:rsidRPr="00542064" w:rsidRDefault="0093285A" w:rsidP="006D3DDF">
            <w:pPr>
              <w:spacing w:line="360" w:lineRule="auto"/>
              <w:jc w:val="center"/>
              <w:rPr>
                <w:sz w:val="20"/>
                <w:szCs w:val="20"/>
              </w:rPr>
            </w:pPr>
            <w:r w:rsidRPr="00542064">
              <w:rPr>
                <w:sz w:val="20"/>
                <w:szCs w:val="20"/>
              </w:rPr>
              <w:t>5865.01</w:t>
            </w:r>
          </w:p>
        </w:tc>
        <w:tc>
          <w:tcPr>
            <w:tcW w:w="1266" w:type="dxa"/>
            <w:vAlign w:val="bottom"/>
          </w:tcPr>
          <w:p w:rsidR="0093285A" w:rsidRPr="00542064" w:rsidRDefault="0093285A" w:rsidP="006D3DDF">
            <w:pPr>
              <w:spacing w:line="360" w:lineRule="auto"/>
              <w:jc w:val="center"/>
              <w:rPr>
                <w:sz w:val="20"/>
                <w:szCs w:val="20"/>
              </w:rPr>
            </w:pPr>
            <w:r w:rsidRPr="00542064">
              <w:rPr>
                <w:sz w:val="20"/>
                <w:szCs w:val="20"/>
              </w:rPr>
              <w:t>4815.34</w:t>
            </w:r>
          </w:p>
        </w:tc>
        <w:tc>
          <w:tcPr>
            <w:tcW w:w="1598" w:type="dxa"/>
            <w:vAlign w:val="bottom"/>
          </w:tcPr>
          <w:p w:rsidR="0093285A" w:rsidRPr="00542064" w:rsidRDefault="0093285A" w:rsidP="006D3DDF">
            <w:pPr>
              <w:spacing w:line="360" w:lineRule="auto"/>
              <w:jc w:val="center"/>
              <w:rPr>
                <w:sz w:val="20"/>
                <w:szCs w:val="20"/>
              </w:rPr>
            </w:pPr>
            <w:r w:rsidRPr="00542064">
              <w:rPr>
                <w:sz w:val="20"/>
                <w:szCs w:val="20"/>
              </w:rPr>
              <w:t>9229.6</w:t>
            </w:r>
          </w:p>
        </w:tc>
      </w:tr>
      <w:tr w:rsidR="0093285A" w:rsidTr="0093285A">
        <w:tc>
          <w:tcPr>
            <w:tcW w:w="2835" w:type="dxa"/>
            <w:vAlign w:val="bottom"/>
          </w:tcPr>
          <w:p w:rsidR="0093285A" w:rsidRPr="00542064" w:rsidRDefault="0093285A" w:rsidP="006D3DDF">
            <w:pPr>
              <w:spacing w:line="360" w:lineRule="auto"/>
              <w:rPr>
                <w:sz w:val="20"/>
                <w:szCs w:val="20"/>
              </w:rPr>
            </w:pPr>
            <w:r w:rsidRPr="00542064">
              <w:rPr>
                <w:sz w:val="20"/>
                <w:szCs w:val="20"/>
              </w:rPr>
              <w:t>Year End</w:t>
            </w:r>
          </w:p>
        </w:tc>
        <w:tc>
          <w:tcPr>
            <w:tcW w:w="1985" w:type="dxa"/>
            <w:vAlign w:val="bottom"/>
          </w:tcPr>
          <w:p w:rsidR="0093285A" w:rsidRPr="00542064" w:rsidRDefault="0093285A" w:rsidP="006D3DDF">
            <w:pPr>
              <w:spacing w:line="360" w:lineRule="auto"/>
              <w:jc w:val="center"/>
              <w:rPr>
                <w:sz w:val="20"/>
                <w:szCs w:val="20"/>
              </w:rPr>
            </w:pPr>
            <w:r w:rsidRPr="00542064">
              <w:rPr>
                <w:sz w:val="20"/>
                <w:szCs w:val="20"/>
              </w:rPr>
              <w:t>10040.5</w:t>
            </w:r>
          </w:p>
        </w:tc>
        <w:tc>
          <w:tcPr>
            <w:tcW w:w="1417" w:type="dxa"/>
            <w:vAlign w:val="bottom"/>
          </w:tcPr>
          <w:p w:rsidR="0093285A" w:rsidRPr="00542064" w:rsidRDefault="0093285A" w:rsidP="006D3DDF">
            <w:pPr>
              <w:spacing w:line="360" w:lineRule="auto"/>
              <w:jc w:val="center"/>
              <w:rPr>
                <w:sz w:val="20"/>
                <w:szCs w:val="20"/>
              </w:rPr>
            </w:pPr>
            <w:r w:rsidRPr="00542064">
              <w:rPr>
                <w:sz w:val="20"/>
                <w:szCs w:val="20"/>
              </w:rPr>
              <w:t>14075.83</w:t>
            </w:r>
          </w:p>
        </w:tc>
        <w:tc>
          <w:tcPr>
            <w:tcW w:w="1389" w:type="dxa"/>
            <w:vAlign w:val="bottom"/>
          </w:tcPr>
          <w:p w:rsidR="0093285A" w:rsidRPr="00542064" w:rsidRDefault="0093285A" w:rsidP="006D3DDF">
            <w:pPr>
              <w:spacing w:line="360" w:lineRule="auto"/>
              <w:jc w:val="center"/>
              <w:rPr>
                <w:sz w:val="20"/>
                <w:szCs w:val="20"/>
              </w:rPr>
            </w:pPr>
            <w:r w:rsidRPr="00542064">
              <w:rPr>
                <w:sz w:val="20"/>
                <w:szCs w:val="20"/>
              </w:rPr>
              <w:t>5865.01</w:t>
            </w:r>
          </w:p>
        </w:tc>
        <w:tc>
          <w:tcPr>
            <w:tcW w:w="1266" w:type="dxa"/>
            <w:vAlign w:val="bottom"/>
          </w:tcPr>
          <w:p w:rsidR="0093285A" w:rsidRPr="00542064" w:rsidRDefault="0093285A" w:rsidP="006D3DDF">
            <w:pPr>
              <w:spacing w:line="360" w:lineRule="auto"/>
              <w:jc w:val="center"/>
              <w:rPr>
                <w:sz w:val="20"/>
                <w:szCs w:val="20"/>
              </w:rPr>
            </w:pPr>
            <w:r w:rsidRPr="00542064">
              <w:rPr>
                <w:sz w:val="20"/>
                <w:szCs w:val="20"/>
              </w:rPr>
              <w:t>9386.92</w:t>
            </w:r>
          </w:p>
        </w:tc>
        <w:tc>
          <w:tcPr>
            <w:tcW w:w="1598" w:type="dxa"/>
            <w:vAlign w:val="bottom"/>
          </w:tcPr>
          <w:p w:rsidR="0093285A" w:rsidRPr="00542064" w:rsidRDefault="0093285A" w:rsidP="006D3DDF">
            <w:pPr>
              <w:spacing w:line="360" w:lineRule="auto"/>
              <w:jc w:val="center"/>
              <w:rPr>
                <w:sz w:val="20"/>
                <w:szCs w:val="20"/>
              </w:rPr>
            </w:pPr>
            <w:r w:rsidRPr="00542064">
              <w:rPr>
                <w:sz w:val="20"/>
                <w:szCs w:val="20"/>
              </w:rPr>
              <w:t>12022.46</w:t>
            </w:r>
          </w:p>
        </w:tc>
      </w:tr>
      <w:tr w:rsidR="0093285A" w:rsidTr="0093285A">
        <w:tc>
          <w:tcPr>
            <w:tcW w:w="10490" w:type="dxa"/>
            <w:gridSpan w:val="6"/>
            <w:vAlign w:val="bottom"/>
          </w:tcPr>
          <w:p w:rsidR="0093285A" w:rsidRPr="00542064" w:rsidRDefault="0093285A" w:rsidP="006D3DDF">
            <w:pPr>
              <w:spacing w:line="360" w:lineRule="auto"/>
              <w:jc w:val="center"/>
              <w:rPr>
                <w:sz w:val="20"/>
                <w:szCs w:val="20"/>
              </w:rPr>
            </w:pPr>
            <w:r w:rsidRPr="00542064">
              <w:rPr>
                <w:b/>
                <w:bCs/>
                <w:sz w:val="20"/>
                <w:szCs w:val="20"/>
              </w:rPr>
              <w:t>Turnover of Shares</w:t>
            </w:r>
          </w:p>
        </w:tc>
      </w:tr>
      <w:tr w:rsidR="0093285A" w:rsidTr="0093285A">
        <w:tc>
          <w:tcPr>
            <w:tcW w:w="2835" w:type="dxa"/>
            <w:vAlign w:val="bottom"/>
          </w:tcPr>
          <w:p w:rsidR="0093285A" w:rsidRPr="00542064" w:rsidRDefault="0093285A" w:rsidP="006D3DDF">
            <w:pPr>
              <w:spacing w:line="360" w:lineRule="auto"/>
              <w:rPr>
                <w:sz w:val="20"/>
                <w:szCs w:val="20"/>
              </w:rPr>
            </w:pPr>
            <w:r w:rsidRPr="00542064">
              <w:rPr>
                <w:sz w:val="20"/>
                <w:szCs w:val="20"/>
              </w:rPr>
              <w:t>Total Shares (in million)</w:t>
            </w:r>
          </w:p>
        </w:tc>
        <w:tc>
          <w:tcPr>
            <w:tcW w:w="1985" w:type="dxa"/>
            <w:vAlign w:val="bottom"/>
          </w:tcPr>
          <w:p w:rsidR="0093285A" w:rsidRPr="00542064" w:rsidRDefault="0093285A" w:rsidP="006D3DDF">
            <w:pPr>
              <w:spacing w:line="360" w:lineRule="auto"/>
              <w:jc w:val="right"/>
              <w:rPr>
                <w:sz w:val="20"/>
                <w:szCs w:val="20"/>
              </w:rPr>
            </w:pPr>
            <w:r w:rsidRPr="00542064">
              <w:rPr>
                <w:sz w:val="20"/>
                <w:szCs w:val="20"/>
              </w:rPr>
              <w:t>63,046.52</w:t>
            </w:r>
          </w:p>
        </w:tc>
        <w:tc>
          <w:tcPr>
            <w:tcW w:w="1417" w:type="dxa"/>
            <w:vAlign w:val="bottom"/>
          </w:tcPr>
          <w:p w:rsidR="0093285A" w:rsidRPr="00542064" w:rsidRDefault="0093285A" w:rsidP="006D3DDF">
            <w:pPr>
              <w:spacing w:line="360" w:lineRule="auto"/>
              <w:jc w:val="right"/>
              <w:rPr>
                <w:sz w:val="20"/>
                <w:szCs w:val="20"/>
              </w:rPr>
            </w:pPr>
            <w:r w:rsidRPr="00542064">
              <w:rPr>
                <w:sz w:val="20"/>
                <w:szCs w:val="20"/>
              </w:rPr>
              <w:t>65,956.89</w:t>
            </w:r>
          </w:p>
        </w:tc>
        <w:tc>
          <w:tcPr>
            <w:tcW w:w="1389" w:type="dxa"/>
            <w:vAlign w:val="bottom"/>
          </w:tcPr>
          <w:p w:rsidR="0093285A" w:rsidRPr="00542064" w:rsidRDefault="0093285A" w:rsidP="006D3DDF">
            <w:pPr>
              <w:spacing w:line="360" w:lineRule="auto"/>
              <w:jc w:val="right"/>
              <w:rPr>
                <w:sz w:val="20"/>
                <w:szCs w:val="20"/>
              </w:rPr>
            </w:pPr>
            <w:r w:rsidRPr="00542064">
              <w:rPr>
                <w:sz w:val="20"/>
                <w:szCs w:val="20"/>
              </w:rPr>
              <w:t>36,527.96</w:t>
            </w:r>
          </w:p>
        </w:tc>
        <w:tc>
          <w:tcPr>
            <w:tcW w:w="1266" w:type="dxa"/>
            <w:vAlign w:val="bottom"/>
          </w:tcPr>
          <w:p w:rsidR="0093285A" w:rsidRPr="00542064" w:rsidRDefault="0093285A" w:rsidP="006D3DDF">
            <w:pPr>
              <w:spacing w:line="360" w:lineRule="auto"/>
              <w:jc w:val="right"/>
              <w:rPr>
                <w:sz w:val="20"/>
                <w:szCs w:val="20"/>
              </w:rPr>
            </w:pPr>
            <w:r w:rsidRPr="00542064">
              <w:rPr>
                <w:sz w:val="20"/>
                <w:szCs w:val="20"/>
              </w:rPr>
              <w:t>44,446.88</w:t>
            </w:r>
          </w:p>
        </w:tc>
        <w:tc>
          <w:tcPr>
            <w:tcW w:w="1598" w:type="dxa"/>
            <w:vAlign w:val="bottom"/>
          </w:tcPr>
          <w:p w:rsidR="0093285A" w:rsidRPr="00542064" w:rsidRDefault="0093285A" w:rsidP="006D3DDF">
            <w:pPr>
              <w:spacing w:line="360" w:lineRule="auto"/>
              <w:jc w:val="right"/>
              <w:rPr>
                <w:sz w:val="20"/>
                <w:szCs w:val="20"/>
              </w:rPr>
            </w:pPr>
            <w:r w:rsidRPr="00542064">
              <w:rPr>
                <w:sz w:val="20"/>
                <w:szCs w:val="20"/>
              </w:rPr>
              <w:t>33,529.72</w:t>
            </w:r>
          </w:p>
        </w:tc>
      </w:tr>
      <w:tr w:rsidR="0093285A" w:rsidTr="0093285A">
        <w:tc>
          <w:tcPr>
            <w:tcW w:w="2835" w:type="dxa"/>
            <w:vAlign w:val="bottom"/>
          </w:tcPr>
          <w:p w:rsidR="0093285A" w:rsidRPr="00542064" w:rsidRDefault="0093285A" w:rsidP="006D3DDF">
            <w:pPr>
              <w:spacing w:line="360" w:lineRule="auto"/>
              <w:rPr>
                <w:sz w:val="20"/>
                <w:szCs w:val="20"/>
              </w:rPr>
            </w:pPr>
            <w:r w:rsidRPr="00542064">
              <w:rPr>
                <w:sz w:val="20"/>
                <w:szCs w:val="20"/>
              </w:rPr>
              <w:t>Average Daily Turnover (in mlns)</w:t>
            </w:r>
          </w:p>
        </w:tc>
        <w:tc>
          <w:tcPr>
            <w:tcW w:w="1985" w:type="dxa"/>
            <w:vAlign w:val="bottom"/>
          </w:tcPr>
          <w:p w:rsidR="0093285A" w:rsidRPr="00542064" w:rsidRDefault="0093285A" w:rsidP="006D3DDF">
            <w:pPr>
              <w:spacing w:line="360" w:lineRule="auto"/>
              <w:jc w:val="right"/>
              <w:rPr>
                <w:sz w:val="20"/>
                <w:szCs w:val="20"/>
              </w:rPr>
            </w:pPr>
            <w:r w:rsidRPr="00542064">
              <w:rPr>
                <w:sz w:val="20"/>
                <w:szCs w:val="20"/>
              </w:rPr>
              <w:t>260.69</w:t>
            </w:r>
          </w:p>
        </w:tc>
        <w:tc>
          <w:tcPr>
            <w:tcW w:w="1417" w:type="dxa"/>
            <w:vAlign w:val="bottom"/>
          </w:tcPr>
          <w:p w:rsidR="0093285A" w:rsidRPr="00542064" w:rsidRDefault="0093285A" w:rsidP="006D3DDF">
            <w:pPr>
              <w:spacing w:line="360" w:lineRule="auto"/>
              <w:jc w:val="right"/>
              <w:rPr>
                <w:sz w:val="20"/>
                <w:szCs w:val="20"/>
              </w:rPr>
            </w:pPr>
            <w:r w:rsidRPr="00542064">
              <w:rPr>
                <w:sz w:val="20"/>
                <w:szCs w:val="20"/>
              </w:rPr>
              <w:t>268.23</w:t>
            </w:r>
          </w:p>
        </w:tc>
        <w:tc>
          <w:tcPr>
            <w:tcW w:w="1389" w:type="dxa"/>
            <w:vAlign w:val="bottom"/>
          </w:tcPr>
          <w:p w:rsidR="0093285A" w:rsidRPr="00542064" w:rsidRDefault="0093285A" w:rsidP="006D3DDF">
            <w:pPr>
              <w:spacing w:line="360" w:lineRule="auto"/>
              <w:jc w:val="right"/>
              <w:rPr>
                <w:sz w:val="20"/>
                <w:szCs w:val="20"/>
              </w:rPr>
            </w:pPr>
            <w:r w:rsidRPr="00542064">
              <w:rPr>
                <w:sz w:val="20"/>
                <w:szCs w:val="20"/>
              </w:rPr>
              <w:t>146.55</w:t>
            </w:r>
          </w:p>
        </w:tc>
        <w:tc>
          <w:tcPr>
            <w:tcW w:w="1266" w:type="dxa"/>
            <w:vAlign w:val="bottom"/>
          </w:tcPr>
          <w:p w:rsidR="0093285A" w:rsidRPr="00542064" w:rsidRDefault="0093285A" w:rsidP="006D3DDF">
            <w:pPr>
              <w:spacing w:line="360" w:lineRule="auto"/>
              <w:jc w:val="right"/>
              <w:rPr>
                <w:sz w:val="20"/>
                <w:szCs w:val="20"/>
              </w:rPr>
            </w:pPr>
            <w:r w:rsidRPr="00542064">
              <w:rPr>
                <w:sz w:val="20"/>
                <w:szCs w:val="20"/>
              </w:rPr>
              <w:t>179.88</w:t>
            </w:r>
          </w:p>
        </w:tc>
        <w:tc>
          <w:tcPr>
            <w:tcW w:w="1598" w:type="dxa"/>
            <w:vAlign w:val="bottom"/>
          </w:tcPr>
          <w:p w:rsidR="0093285A" w:rsidRPr="00542064" w:rsidRDefault="0093285A" w:rsidP="006D3DDF">
            <w:pPr>
              <w:spacing w:line="360" w:lineRule="auto"/>
              <w:jc w:val="right"/>
              <w:rPr>
                <w:sz w:val="20"/>
                <w:szCs w:val="20"/>
              </w:rPr>
            </w:pPr>
            <w:r w:rsidRPr="00542064">
              <w:rPr>
                <w:sz w:val="20"/>
                <w:szCs w:val="20"/>
              </w:rPr>
              <w:t>132.64</w:t>
            </w:r>
          </w:p>
        </w:tc>
      </w:tr>
    </w:tbl>
    <w:p w:rsidR="0093285A" w:rsidRDefault="0093285A" w:rsidP="0093285A">
      <w:pPr>
        <w:rPr>
          <w:b/>
          <w:sz w:val="20"/>
          <w:szCs w:val="20"/>
        </w:rPr>
      </w:pPr>
      <w:r w:rsidRPr="00542064">
        <w:rPr>
          <w:b/>
          <w:i/>
          <w:sz w:val="20"/>
          <w:szCs w:val="20"/>
        </w:rPr>
        <w:t xml:space="preserve">Source: </w:t>
      </w:r>
      <w:r w:rsidRPr="00542064">
        <w:rPr>
          <w:i/>
          <w:sz w:val="20"/>
          <w:szCs w:val="20"/>
        </w:rPr>
        <w:t>Karachi Stock Exchange,</w:t>
      </w:r>
      <w:r>
        <w:rPr>
          <w:noProof/>
          <w:sz w:val="20"/>
          <w:szCs w:val="20"/>
          <w:lang w:val="en-IN" w:eastAsia="en-IN"/>
        </w:rPr>
        <w:drawing>
          <wp:anchor distT="0" distB="0" distL="114300" distR="114300" simplePos="0" relativeHeight="251661312" behindDoc="1" locked="0" layoutInCell="0" allowOverlap="1">
            <wp:simplePos x="0" y="0"/>
            <wp:positionH relativeFrom="column">
              <wp:posOffset>521970</wp:posOffset>
            </wp:positionH>
            <wp:positionV relativeFrom="paragraph">
              <wp:posOffset>-2415540</wp:posOffset>
            </wp:positionV>
            <wp:extent cx="4712970" cy="2425065"/>
            <wp:effectExtent l="1905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cstate="print"/>
                    <a:srcRect/>
                    <a:stretch>
                      <a:fillRect/>
                    </a:stretch>
                  </pic:blipFill>
                  <pic:spPr bwMode="auto">
                    <a:xfrm>
                      <a:off x="0" y="0"/>
                      <a:ext cx="4712970" cy="2425065"/>
                    </a:xfrm>
                    <a:prstGeom prst="rect">
                      <a:avLst/>
                    </a:prstGeom>
                    <a:noFill/>
                  </pic:spPr>
                </pic:pic>
              </a:graphicData>
            </a:graphic>
          </wp:anchor>
        </w:drawing>
      </w:r>
      <w:r w:rsidRPr="00542064">
        <w:rPr>
          <w:i/>
          <w:sz w:val="20"/>
          <w:szCs w:val="20"/>
        </w:rPr>
        <w:t xml:space="preserve"> </w:t>
      </w:r>
      <w:r w:rsidRPr="00542064">
        <w:rPr>
          <w:sz w:val="20"/>
          <w:szCs w:val="20"/>
        </w:rPr>
        <w:t>1 USD = PKR 94 approximately</w:t>
      </w:r>
    </w:p>
    <w:p w:rsidR="006D3DDF" w:rsidRDefault="006D3DDF" w:rsidP="0093285A">
      <w:pPr>
        <w:spacing w:line="360" w:lineRule="auto"/>
        <w:jc w:val="both"/>
        <w:rPr>
          <w:b/>
          <w:szCs w:val="20"/>
        </w:rPr>
        <w:sectPr w:rsidR="006D3DDF" w:rsidSect="00837241">
          <w:type w:val="continuous"/>
          <w:pgSz w:w="12240" w:h="15840" w:code="1"/>
          <w:pgMar w:top="1440" w:right="749" w:bottom="1440" w:left="907" w:header="720" w:footer="720" w:gutter="0"/>
          <w:cols w:space="227"/>
          <w:docGrid w:linePitch="360"/>
        </w:sectPr>
      </w:pPr>
    </w:p>
    <w:p w:rsidR="0093285A" w:rsidRPr="0093285A" w:rsidRDefault="001E0C73" w:rsidP="0093285A">
      <w:pPr>
        <w:spacing w:line="360" w:lineRule="auto"/>
        <w:jc w:val="both"/>
        <w:rPr>
          <w:b/>
          <w:sz w:val="20"/>
          <w:szCs w:val="20"/>
        </w:rPr>
      </w:pPr>
      <w:r>
        <w:rPr>
          <w:b/>
          <w:szCs w:val="20"/>
        </w:rPr>
        <w:t xml:space="preserve">Methodology </w:t>
      </w:r>
      <w:r w:rsidR="0093285A" w:rsidRPr="0093285A">
        <w:rPr>
          <w:b/>
          <w:szCs w:val="20"/>
        </w:rPr>
        <w:t xml:space="preserve"> </w:t>
      </w:r>
    </w:p>
    <w:p w:rsidR="0093285A" w:rsidRPr="0093285A" w:rsidRDefault="0093285A" w:rsidP="0093285A">
      <w:pPr>
        <w:jc w:val="both"/>
        <w:rPr>
          <w:sz w:val="20"/>
          <w:szCs w:val="20"/>
        </w:rPr>
      </w:pPr>
      <w:r w:rsidRPr="0093285A">
        <w:rPr>
          <w:sz w:val="20"/>
          <w:szCs w:val="20"/>
        </w:rPr>
        <w:t>To model the volatility of KSE on aggregate level, we will use the return on KSE 100 index. The sample period is between April 2004 and September 2012. The daily returns for this period will be estimated using the following logarithmic expression.</w:t>
      </w:r>
    </w:p>
    <w:p w:rsidR="0093285A" w:rsidRPr="0093285A" w:rsidRDefault="0093285A" w:rsidP="0093285A">
      <w:pPr>
        <w:jc w:val="both"/>
        <w:rPr>
          <w:sz w:val="20"/>
          <w:szCs w:val="20"/>
        </w:rPr>
      </w:pPr>
      <w:r w:rsidRPr="0093285A">
        <w:rPr>
          <w:position w:val="-32"/>
          <w:sz w:val="20"/>
          <w:szCs w:val="20"/>
        </w:rPr>
        <w:object w:dxaOrig="14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37.85pt" o:ole="">
            <v:imagedata r:id="rId18" o:title=""/>
          </v:shape>
          <o:OLEObject Type="Embed" ProgID="Equation.3" ShapeID="_x0000_i1025" DrawAspect="Content" ObjectID="_1413385811" r:id="rId19"/>
        </w:object>
      </w:r>
    </w:p>
    <w:p w:rsidR="0093285A" w:rsidRDefault="0093285A" w:rsidP="0093285A">
      <w:pPr>
        <w:jc w:val="both"/>
        <w:rPr>
          <w:sz w:val="20"/>
          <w:szCs w:val="20"/>
        </w:rPr>
      </w:pPr>
      <w:r w:rsidRPr="0093285A">
        <w:rPr>
          <w:sz w:val="20"/>
          <w:szCs w:val="20"/>
        </w:rPr>
        <w:t>The index number will be used as price proxy to model returns and volatility. A simple measure of volatility is the standard deviation over the sample period. However, in such case the problem lies in the choice of sample period. If the period is long, the estimated standard deviation might not be relevant at present. On the contrary, a smaller period tends to include noise in the results. Moreover, the investor is concerned with the holding period volatility or the conditional variance rather than long run variance forecast. The descriptive statistics of KSE 100 returns for the sample period are reported in table 3.</w:t>
      </w:r>
    </w:p>
    <w:p w:rsidR="0093285A" w:rsidRDefault="0093285A" w:rsidP="0093285A">
      <w:pPr>
        <w:jc w:val="both"/>
        <w:rPr>
          <w:sz w:val="20"/>
          <w:szCs w:val="20"/>
        </w:rPr>
      </w:pPr>
    </w:p>
    <w:p w:rsidR="0093285A" w:rsidRDefault="0093285A" w:rsidP="0093285A">
      <w:pPr>
        <w:jc w:val="center"/>
        <w:rPr>
          <w:b/>
          <w:sz w:val="20"/>
          <w:szCs w:val="20"/>
        </w:rPr>
      </w:pPr>
      <w:r w:rsidRPr="00542064">
        <w:rPr>
          <w:b/>
          <w:sz w:val="20"/>
          <w:szCs w:val="20"/>
        </w:rPr>
        <w:t>Table</w:t>
      </w:r>
      <w:r>
        <w:rPr>
          <w:b/>
          <w:sz w:val="20"/>
          <w:szCs w:val="20"/>
        </w:rPr>
        <w:t>-</w:t>
      </w:r>
      <w:r w:rsidRPr="00542064">
        <w:rPr>
          <w:b/>
          <w:sz w:val="20"/>
          <w:szCs w:val="20"/>
        </w:rPr>
        <w:t>3</w:t>
      </w:r>
    </w:p>
    <w:p w:rsidR="0093285A" w:rsidRDefault="0093285A" w:rsidP="0093285A">
      <w:pPr>
        <w:jc w:val="center"/>
        <w:rPr>
          <w:b/>
          <w:sz w:val="20"/>
          <w:szCs w:val="20"/>
        </w:rPr>
      </w:pPr>
      <w:r w:rsidRPr="00542064">
        <w:rPr>
          <w:b/>
          <w:sz w:val="20"/>
          <w:szCs w:val="20"/>
        </w:rPr>
        <w:t>Descriptive Statistics KSE 100 Returns</w:t>
      </w:r>
    </w:p>
    <w:tbl>
      <w:tblPr>
        <w:tblW w:w="4718" w:type="pct"/>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3"/>
        <w:gridCol w:w="2007"/>
      </w:tblGrid>
      <w:tr w:rsidR="0093285A" w:rsidRPr="00542064" w:rsidTr="001E0C73">
        <w:trPr>
          <w:trHeight w:val="113"/>
          <w:jc w:val="center"/>
        </w:trPr>
        <w:tc>
          <w:tcPr>
            <w:tcW w:w="3028" w:type="pct"/>
            <w:shd w:val="clear" w:color="auto" w:fill="auto"/>
            <w:noWrap/>
            <w:vAlign w:val="bottom"/>
            <w:hideMark/>
          </w:tcPr>
          <w:p w:rsidR="0093285A" w:rsidRPr="00542064" w:rsidRDefault="0093285A" w:rsidP="0093285A">
            <w:pPr>
              <w:rPr>
                <w:color w:val="000000"/>
                <w:sz w:val="20"/>
                <w:szCs w:val="20"/>
              </w:rPr>
            </w:pPr>
            <w:r w:rsidRPr="00542064">
              <w:rPr>
                <w:color w:val="000000"/>
                <w:sz w:val="20"/>
                <w:szCs w:val="20"/>
              </w:rPr>
              <w:t>Mean</w:t>
            </w:r>
          </w:p>
        </w:tc>
        <w:tc>
          <w:tcPr>
            <w:tcW w:w="1972" w:type="pct"/>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0.0010</w:t>
            </w:r>
          </w:p>
        </w:tc>
      </w:tr>
      <w:tr w:rsidR="0093285A" w:rsidRPr="00542064" w:rsidTr="001E0C73">
        <w:trPr>
          <w:trHeight w:val="113"/>
          <w:jc w:val="center"/>
        </w:trPr>
        <w:tc>
          <w:tcPr>
            <w:tcW w:w="3028" w:type="pct"/>
            <w:shd w:val="clear" w:color="auto" w:fill="auto"/>
            <w:noWrap/>
            <w:vAlign w:val="bottom"/>
            <w:hideMark/>
          </w:tcPr>
          <w:p w:rsidR="0093285A" w:rsidRPr="00542064" w:rsidRDefault="0093285A" w:rsidP="0093285A">
            <w:pPr>
              <w:rPr>
                <w:color w:val="000000"/>
                <w:sz w:val="20"/>
                <w:szCs w:val="20"/>
              </w:rPr>
            </w:pPr>
            <w:r w:rsidRPr="00542064">
              <w:rPr>
                <w:color w:val="000000"/>
                <w:sz w:val="20"/>
                <w:szCs w:val="20"/>
              </w:rPr>
              <w:t>Median</w:t>
            </w:r>
          </w:p>
        </w:tc>
        <w:tc>
          <w:tcPr>
            <w:tcW w:w="1972" w:type="pct"/>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0.0022</w:t>
            </w:r>
          </w:p>
        </w:tc>
      </w:tr>
      <w:tr w:rsidR="0093285A" w:rsidRPr="00542064" w:rsidTr="001E0C73">
        <w:trPr>
          <w:trHeight w:val="113"/>
          <w:jc w:val="center"/>
        </w:trPr>
        <w:tc>
          <w:tcPr>
            <w:tcW w:w="3028" w:type="pct"/>
            <w:shd w:val="clear" w:color="auto" w:fill="auto"/>
            <w:noWrap/>
            <w:vAlign w:val="bottom"/>
            <w:hideMark/>
          </w:tcPr>
          <w:p w:rsidR="0093285A" w:rsidRPr="00542064" w:rsidRDefault="0093285A" w:rsidP="0093285A">
            <w:pPr>
              <w:rPr>
                <w:color w:val="000000"/>
                <w:sz w:val="20"/>
                <w:szCs w:val="20"/>
              </w:rPr>
            </w:pPr>
            <w:r w:rsidRPr="00542064">
              <w:rPr>
                <w:color w:val="000000"/>
                <w:sz w:val="20"/>
                <w:szCs w:val="20"/>
              </w:rPr>
              <w:t>Maximum</w:t>
            </w:r>
          </w:p>
        </w:tc>
        <w:tc>
          <w:tcPr>
            <w:tcW w:w="1972" w:type="pct"/>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0.0580</w:t>
            </w:r>
          </w:p>
        </w:tc>
      </w:tr>
      <w:tr w:rsidR="0093285A" w:rsidRPr="00542064" w:rsidTr="001E0C73">
        <w:trPr>
          <w:trHeight w:val="113"/>
          <w:jc w:val="center"/>
        </w:trPr>
        <w:tc>
          <w:tcPr>
            <w:tcW w:w="3028" w:type="pct"/>
            <w:shd w:val="clear" w:color="auto" w:fill="auto"/>
            <w:noWrap/>
            <w:vAlign w:val="bottom"/>
            <w:hideMark/>
          </w:tcPr>
          <w:p w:rsidR="0093285A" w:rsidRPr="00542064" w:rsidRDefault="0093285A" w:rsidP="0093285A">
            <w:pPr>
              <w:rPr>
                <w:color w:val="000000"/>
                <w:sz w:val="20"/>
                <w:szCs w:val="20"/>
              </w:rPr>
            </w:pPr>
            <w:r w:rsidRPr="00542064">
              <w:rPr>
                <w:color w:val="000000"/>
                <w:sz w:val="20"/>
                <w:szCs w:val="20"/>
              </w:rPr>
              <w:t>Minimum</w:t>
            </w:r>
          </w:p>
        </w:tc>
        <w:tc>
          <w:tcPr>
            <w:tcW w:w="1972" w:type="pct"/>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-0.0606</w:t>
            </w:r>
          </w:p>
        </w:tc>
      </w:tr>
      <w:tr w:rsidR="0093285A" w:rsidRPr="00542064" w:rsidTr="001E0C73">
        <w:trPr>
          <w:trHeight w:val="113"/>
          <w:jc w:val="center"/>
        </w:trPr>
        <w:tc>
          <w:tcPr>
            <w:tcW w:w="3028" w:type="pct"/>
            <w:shd w:val="clear" w:color="auto" w:fill="auto"/>
            <w:noWrap/>
            <w:vAlign w:val="bottom"/>
            <w:hideMark/>
          </w:tcPr>
          <w:p w:rsidR="0093285A" w:rsidRPr="00542064" w:rsidRDefault="0093285A" w:rsidP="0093285A">
            <w:pPr>
              <w:rPr>
                <w:color w:val="000000"/>
                <w:sz w:val="20"/>
                <w:szCs w:val="20"/>
              </w:rPr>
            </w:pPr>
            <w:r w:rsidRPr="00542064">
              <w:rPr>
                <w:color w:val="000000"/>
                <w:sz w:val="20"/>
                <w:szCs w:val="20"/>
              </w:rPr>
              <w:t>Std. Dev.</w:t>
            </w:r>
          </w:p>
        </w:tc>
        <w:tc>
          <w:tcPr>
            <w:tcW w:w="1972" w:type="pct"/>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0.0160</w:t>
            </w:r>
          </w:p>
        </w:tc>
      </w:tr>
      <w:tr w:rsidR="0093285A" w:rsidRPr="00542064" w:rsidTr="001E0C73">
        <w:trPr>
          <w:trHeight w:val="113"/>
          <w:jc w:val="center"/>
        </w:trPr>
        <w:tc>
          <w:tcPr>
            <w:tcW w:w="3028" w:type="pct"/>
            <w:shd w:val="clear" w:color="auto" w:fill="auto"/>
            <w:noWrap/>
            <w:vAlign w:val="bottom"/>
            <w:hideMark/>
          </w:tcPr>
          <w:p w:rsidR="0093285A" w:rsidRPr="00542064" w:rsidRDefault="0093285A" w:rsidP="0093285A">
            <w:pPr>
              <w:rPr>
                <w:color w:val="000000"/>
                <w:sz w:val="20"/>
                <w:szCs w:val="20"/>
              </w:rPr>
            </w:pPr>
            <w:r w:rsidRPr="00542064">
              <w:rPr>
                <w:color w:val="000000"/>
                <w:sz w:val="20"/>
                <w:szCs w:val="20"/>
              </w:rPr>
              <w:t>Skewness</w:t>
            </w:r>
          </w:p>
        </w:tc>
        <w:tc>
          <w:tcPr>
            <w:tcW w:w="1972" w:type="pct"/>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-0.4669</w:t>
            </w:r>
          </w:p>
        </w:tc>
      </w:tr>
      <w:tr w:rsidR="0093285A" w:rsidRPr="00542064" w:rsidTr="001E0C73">
        <w:trPr>
          <w:trHeight w:val="113"/>
          <w:jc w:val="center"/>
        </w:trPr>
        <w:tc>
          <w:tcPr>
            <w:tcW w:w="3028" w:type="pct"/>
            <w:shd w:val="clear" w:color="auto" w:fill="auto"/>
            <w:noWrap/>
            <w:vAlign w:val="bottom"/>
            <w:hideMark/>
          </w:tcPr>
          <w:p w:rsidR="0093285A" w:rsidRPr="00542064" w:rsidRDefault="0093285A" w:rsidP="0093285A">
            <w:pPr>
              <w:rPr>
                <w:color w:val="000000"/>
                <w:sz w:val="20"/>
                <w:szCs w:val="20"/>
              </w:rPr>
            </w:pPr>
            <w:r w:rsidRPr="00542064">
              <w:rPr>
                <w:color w:val="000000"/>
                <w:sz w:val="20"/>
                <w:szCs w:val="20"/>
              </w:rPr>
              <w:t>Kurtosis</w:t>
            </w:r>
          </w:p>
        </w:tc>
        <w:tc>
          <w:tcPr>
            <w:tcW w:w="1972" w:type="pct"/>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4.3926</w:t>
            </w:r>
          </w:p>
        </w:tc>
      </w:tr>
      <w:tr w:rsidR="0093285A" w:rsidRPr="00542064" w:rsidTr="001E0C73">
        <w:trPr>
          <w:trHeight w:val="113"/>
          <w:jc w:val="center"/>
        </w:trPr>
        <w:tc>
          <w:tcPr>
            <w:tcW w:w="3028" w:type="pct"/>
            <w:shd w:val="clear" w:color="auto" w:fill="auto"/>
            <w:noWrap/>
            <w:vAlign w:val="bottom"/>
            <w:hideMark/>
          </w:tcPr>
          <w:p w:rsidR="0093285A" w:rsidRPr="00542064" w:rsidRDefault="0093285A" w:rsidP="0093285A">
            <w:pPr>
              <w:rPr>
                <w:color w:val="000000"/>
                <w:sz w:val="20"/>
                <w:szCs w:val="20"/>
              </w:rPr>
            </w:pPr>
            <w:r w:rsidRPr="00542064">
              <w:rPr>
                <w:color w:val="000000"/>
                <w:sz w:val="20"/>
                <w:szCs w:val="20"/>
              </w:rPr>
              <w:t>Jarque-Bera</w:t>
            </w:r>
          </w:p>
        </w:tc>
        <w:tc>
          <w:tcPr>
            <w:tcW w:w="1972" w:type="pct"/>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85.1567</w:t>
            </w:r>
          </w:p>
        </w:tc>
      </w:tr>
      <w:tr w:rsidR="0093285A" w:rsidRPr="00542064" w:rsidTr="001E0C73">
        <w:trPr>
          <w:trHeight w:val="113"/>
          <w:jc w:val="center"/>
        </w:trPr>
        <w:tc>
          <w:tcPr>
            <w:tcW w:w="3028" w:type="pct"/>
            <w:shd w:val="clear" w:color="auto" w:fill="auto"/>
            <w:noWrap/>
            <w:vAlign w:val="bottom"/>
            <w:hideMark/>
          </w:tcPr>
          <w:p w:rsidR="0093285A" w:rsidRPr="00542064" w:rsidRDefault="0093285A" w:rsidP="0093285A">
            <w:pPr>
              <w:rPr>
                <w:color w:val="000000"/>
                <w:sz w:val="20"/>
                <w:szCs w:val="20"/>
              </w:rPr>
            </w:pPr>
            <w:r w:rsidRPr="00542064">
              <w:rPr>
                <w:color w:val="000000"/>
                <w:sz w:val="20"/>
                <w:szCs w:val="20"/>
              </w:rPr>
              <w:t>Probability</w:t>
            </w:r>
          </w:p>
        </w:tc>
        <w:tc>
          <w:tcPr>
            <w:tcW w:w="1972" w:type="pct"/>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0.0000</w:t>
            </w:r>
          </w:p>
        </w:tc>
      </w:tr>
    </w:tbl>
    <w:p w:rsidR="0093285A" w:rsidRDefault="0093285A" w:rsidP="0093285A">
      <w:pPr>
        <w:jc w:val="both"/>
        <w:rPr>
          <w:sz w:val="20"/>
          <w:szCs w:val="20"/>
        </w:rPr>
      </w:pPr>
    </w:p>
    <w:p w:rsidR="0093285A" w:rsidRPr="0093285A" w:rsidRDefault="0093285A" w:rsidP="0093285A">
      <w:pPr>
        <w:jc w:val="both"/>
        <w:rPr>
          <w:sz w:val="20"/>
          <w:szCs w:val="20"/>
        </w:rPr>
      </w:pPr>
      <w:r w:rsidRPr="0093285A">
        <w:rPr>
          <w:sz w:val="20"/>
          <w:szCs w:val="20"/>
        </w:rPr>
        <w:t>From table 3, it is evident that KSE 100 has volatile daily returns with a maximum of 5% and a minimum of -6.0%. The mean return is around 1% with a standard deviation of almost 1.6%. The observed Kurtosis is 4.39 with skewness of -0.46. Kurtosis is a measure of whether data are peaked or flat relative to normal distribution. The negative skewness indicates that returns are negatively skewed and together with kurtosis implies that underlying distribution of returns is not normal. The significant Jarque Bera value further validates the existence of a non normal distribution. The non normal returns call for estimation using GARCH model which generalizes the ARCH model by using ARMA process. This GARCH can be represented for returns (y</w:t>
      </w:r>
      <w:r w:rsidRPr="0093285A">
        <w:rPr>
          <w:sz w:val="20"/>
          <w:szCs w:val="20"/>
          <w:vertAlign w:val="subscript"/>
        </w:rPr>
        <w:t>t</w:t>
      </w:r>
      <w:r w:rsidRPr="0093285A">
        <w:rPr>
          <w:sz w:val="20"/>
          <w:szCs w:val="20"/>
        </w:rPr>
        <w:t>) and volatility (σ</w:t>
      </w:r>
      <w:r w:rsidRPr="0093285A">
        <w:rPr>
          <w:sz w:val="20"/>
          <w:szCs w:val="20"/>
          <w:vertAlign w:val="superscript"/>
        </w:rPr>
        <w:t>2</w:t>
      </w:r>
      <w:r w:rsidRPr="0093285A">
        <w:rPr>
          <w:sz w:val="20"/>
          <w:szCs w:val="20"/>
        </w:rPr>
        <w:t>) as follows.</w:t>
      </w:r>
    </w:p>
    <w:p w:rsidR="0093285A" w:rsidRPr="0093285A" w:rsidRDefault="0093285A" w:rsidP="0093285A">
      <w:pPr>
        <w:pStyle w:val="Heading3"/>
        <w:spacing w:before="0"/>
        <w:rPr>
          <w:rFonts w:ascii="Times New Roman" w:hAnsi="Times New Roman" w:cs="Times New Roman"/>
          <w:sz w:val="20"/>
          <w:szCs w:val="20"/>
        </w:rPr>
      </w:pPr>
      <w:r w:rsidRPr="0093285A">
        <w:rPr>
          <w:rFonts w:ascii="Times New Roman" w:hAnsi="Times New Roman" w:cs="Times New Roman"/>
          <w:position w:val="-82"/>
          <w:sz w:val="20"/>
          <w:szCs w:val="20"/>
        </w:rPr>
        <w:object w:dxaOrig="2920" w:dyaOrig="1680">
          <v:shape id="_x0000_i1026" type="#_x0000_t75" style="width:140.9pt;height:81.95pt" o:ole="">
            <v:imagedata r:id="rId20" o:title=""/>
          </v:shape>
          <o:OLEObject Type="Embed" ProgID="Equation.3" ShapeID="_x0000_i1026" DrawAspect="Content" ObjectID="_1413385812" r:id="rId21"/>
        </w:object>
      </w:r>
    </w:p>
    <w:p w:rsidR="0093285A" w:rsidRPr="0093285A" w:rsidRDefault="0093285A" w:rsidP="0093285A">
      <w:pPr>
        <w:jc w:val="both"/>
        <w:rPr>
          <w:sz w:val="20"/>
          <w:szCs w:val="20"/>
        </w:rPr>
      </w:pPr>
    </w:p>
    <w:p w:rsidR="0093285A" w:rsidRPr="0093285A" w:rsidRDefault="0093285A" w:rsidP="0093285A">
      <w:pPr>
        <w:jc w:val="both"/>
        <w:rPr>
          <w:sz w:val="20"/>
          <w:szCs w:val="20"/>
        </w:rPr>
      </w:pPr>
      <w:r w:rsidRPr="0093285A">
        <w:rPr>
          <w:sz w:val="20"/>
          <w:szCs w:val="20"/>
        </w:rPr>
        <w:t>In the above setup, (y</w:t>
      </w:r>
      <w:r w:rsidRPr="0093285A">
        <w:rPr>
          <w:sz w:val="20"/>
          <w:szCs w:val="20"/>
          <w:vertAlign w:val="subscript"/>
        </w:rPr>
        <w:t>t</w:t>
      </w:r>
      <w:r w:rsidRPr="0093285A">
        <w:rPr>
          <w:sz w:val="20"/>
          <w:szCs w:val="20"/>
        </w:rPr>
        <w:t>) is referred to as the mean equation and the (σ</w:t>
      </w:r>
      <w:r w:rsidRPr="0093285A">
        <w:rPr>
          <w:sz w:val="20"/>
          <w:szCs w:val="20"/>
          <w:vertAlign w:val="superscript"/>
        </w:rPr>
        <w:t>2</w:t>
      </w:r>
      <w:r w:rsidRPr="0093285A">
        <w:rPr>
          <w:sz w:val="20"/>
          <w:szCs w:val="20"/>
        </w:rPr>
        <w:t>) represents the variance equation. The mean equation is specified as an autoregressive moving average process, ARMA (p,q), which assumes that a time series is a linear combination of its past values and as well as current and past values of random errors. The first step in modeling the GARCH process involves specifying a model for the return series. An ARMA(1,1) model is identified for the return series based on Box and Jenkins methodology. An ARCH- LM test will be carried out to ensure that the underlying process is in consort with the postulated GARCH process. Testing for ARCH error involves two steps. In the first step returns are estimated as an ARMA (1,1) process. In the second step, squared residuals from the above regression are regressed on a constant and lags. Once the ARCH effects are established, we will use GARCH (1,1) to model the volatility in returns.</w:t>
      </w:r>
    </w:p>
    <w:p w:rsidR="0093285A" w:rsidRPr="0093285A" w:rsidRDefault="0093285A" w:rsidP="0093285A">
      <w:pPr>
        <w:jc w:val="both"/>
        <w:rPr>
          <w:b/>
          <w:sz w:val="20"/>
          <w:szCs w:val="20"/>
        </w:rPr>
      </w:pPr>
    </w:p>
    <w:p w:rsidR="0093285A" w:rsidRPr="0093285A" w:rsidRDefault="0093285A" w:rsidP="0093285A">
      <w:pPr>
        <w:spacing w:line="360" w:lineRule="auto"/>
        <w:jc w:val="both"/>
        <w:rPr>
          <w:b/>
          <w:sz w:val="20"/>
          <w:szCs w:val="20"/>
        </w:rPr>
      </w:pPr>
      <w:r w:rsidRPr="0093285A">
        <w:rPr>
          <w:b/>
          <w:szCs w:val="20"/>
        </w:rPr>
        <w:t>Results and Discussion</w:t>
      </w:r>
    </w:p>
    <w:p w:rsidR="0093285A" w:rsidRDefault="0093285A" w:rsidP="0093285A">
      <w:pPr>
        <w:jc w:val="both"/>
        <w:rPr>
          <w:sz w:val="20"/>
          <w:szCs w:val="20"/>
        </w:rPr>
      </w:pPr>
      <w:r w:rsidRPr="0093285A">
        <w:rPr>
          <w:sz w:val="20"/>
          <w:szCs w:val="20"/>
        </w:rPr>
        <w:t xml:space="preserve">There were two steps involved in the GARCH modeling of volatility. The first phase comprises of detection of ARCH effects in the data. An ARMA (1,1) model was estimated. The correlogram of squared residuals from ARMA(1,1) is reported in </w:t>
      </w:r>
      <w:r>
        <w:rPr>
          <w:sz w:val="20"/>
          <w:szCs w:val="20"/>
        </w:rPr>
        <w:t>t</w:t>
      </w:r>
      <w:r w:rsidRPr="0093285A">
        <w:rPr>
          <w:sz w:val="20"/>
          <w:szCs w:val="20"/>
        </w:rPr>
        <w:t>able 4.</w:t>
      </w:r>
    </w:p>
    <w:p w:rsidR="0093285A" w:rsidRDefault="0093285A" w:rsidP="0093285A">
      <w:pPr>
        <w:jc w:val="center"/>
        <w:rPr>
          <w:b/>
          <w:sz w:val="20"/>
          <w:szCs w:val="20"/>
        </w:rPr>
      </w:pPr>
      <w:r w:rsidRPr="00542064">
        <w:rPr>
          <w:b/>
          <w:sz w:val="20"/>
          <w:szCs w:val="20"/>
        </w:rPr>
        <w:t>Table</w:t>
      </w:r>
      <w:r>
        <w:rPr>
          <w:b/>
          <w:sz w:val="20"/>
          <w:szCs w:val="20"/>
        </w:rPr>
        <w:t>-</w:t>
      </w:r>
      <w:r w:rsidRPr="00542064">
        <w:rPr>
          <w:b/>
          <w:sz w:val="20"/>
          <w:szCs w:val="20"/>
        </w:rPr>
        <w:t>4</w:t>
      </w:r>
    </w:p>
    <w:p w:rsidR="0093285A" w:rsidRDefault="0093285A" w:rsidP="0093285A">
      <w:pPr>
        <w:jc w:val="center"/>
        <w:rPr>
          <w:b/>
          <w:sz w:val="20"/>
          <w:szCs w:val="20"/>
        </w:rPr>
      </w:pPr>
      <w:r w:rsidRPr="00542064">
        <w:rPr>
          <w:b/>
          <w:sz w:val="20"/>
          <w:szCs w:val="20"/>
        </w:rPr>
        <w:t>Correlogram of Squared Residuals ARMA</w:t>
      </w:r>
      <w:r w:rsidR="001E0C73">
        <w:rPr>
          <w:b/>
          <w:sz w:val="20"/>
          <w:szCs w:val="20"/>
        </w:rPr>
        <w:t xml:space="preserve"> </w:t>
      </w:r>
      <w:r w:rsidRPr="00542064">
        <w:rPr>
          <w:b/>
          <w:sz w:val="20"/>
          <w:szCs w:val="20"/>
        </w:rPr>
        <w:t>(1,1)</w:t>
      </w:r>
    </w:p>
    <w:tbl>
      <w:tblPr>
        <w:tblW w:w="5139" w:type="dxa"/>
        <w:jc w:val="cente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9"/>
        <w:gridCol w:w="960"/>
        <w:gridCol w:w="960"/>
        <w:gridCol w:w="960"/>
        <w:gridCol w:w="1050"/>
      </w:tblGrid>
      <w:tr w:rsidR="0093285A" w:rsidRPr="00542064" w:rsidTr="006D3DDF">
        <w:trPr>
          <w:trHeight w:val="57"/>
          <w:jc w:val="center"/>
        </w:trPr>
        <w:tc>
          <w:tcPr>
            <w:tcW w:w="1209" w:type="dxa"/>
            <w:shd w:val="clear" w:color="auto" w:fill="auto"/>
            <w:noWrap/>
            <w:vAlign w:val="bottom"/>
            <w:hideMark/>
          </w:tcPr>
          <w:p w:rsidR="0093285A" w:rsidRPr="00542064" w:rsidRDefault="0093285A" w:rsidP="0093285A">
            <w:pPr>
              <w:jc w:val="center"/>
              <w:rPr>
                <w:color w:val="000000"/>
                <w:sz w:val="20"/>
                <w:szCs w:val="20"/>
              </w:rPr>
            </w:pPr>
          </w:p>
        </w:tc>
        <w:tc>
          <w:tcPr>
            <w:tcW w:w="960" w:type="dxa"/>
            <w:shd w:val="clear" w:color="auto" w:fill="auto"/>
            <w:noWrap/>
            <w:vAlign w:val="bottom"/>
            <w:hideMark/>
          </w:tcPr>
          <w:p w:rsidR="0093285A" w:rsidRPr="00542064" w:rsidRDefault="0093285A" w:rsidP="0093285A">
            <w:pPr>
              <w:jc w:val="center"/>
              <w:rPr>
                <w:b/>
                <w:color w:val="000000"/>
                <w:sz w:val="20"/>
                <w:szCs w:val="20"/>
              </w:rPr>
            </w:pPr>
            <w:r w:rsidRPr="00542064">
              <w:rPr>
                <w:b/>
                <w:color w:val="000000"/>
                <w:sz w:val="20"/>
                <w:szCs w:val="20"/>
              </w:rPr>
              <w:t>AC*</w:t>
            </w:r>
          </w:p>
        </w:tc>
        <w:tc>
          <w:tcPr>
            <w:tcW w:w="960" w:type="dxa"/>
            <w:shd w:val="clear" w:color="auto" w:fill="auto"/>
            <w:noWrap/>
            <w:vAlign w:val="bottom"/>
            <w:hideMark/>
          </w:tcPr>
          <w:p w:rsidR="0093285A" w:rsidRPr="00542064" w:rsidRDefault="0093285A" w:rsidP="0093285A">
            <w:pPr>
              <w:jc w:val="center"/>
              <w:rPr>
                <w:b/>
                <w:color w:val="000000"/>
                <w:sz w:val="20"/>
                <w:szCs w:val="20"/>
              </w:rPr>
            </w:pPr>
            <w:r w:rsidRPr="00542064">
              <w:rPr>
                <w:b/>
                <w:color w:val="000000"/>
                <w:sz w:val="20"/>
                <w:szCs w:val="20"/>
              </w:rPr>
              <w:t>PAC**</w:t>
            </w:r>
          </w:p>
        </w:tc>
        <w:tc>
          <w:tcPr>
            <w:tcW w:w="960" w:type="dxa"/>
            <w:shd w:val="clear" w:color="auto" w:fill="auto"/>
            <w:noWrap/>
            <w:vAlign w:val="bottom"/>
            <w:hideMark/>
          </w:tcPr>
          <w:p w:rsidR="0093285A" w:rsidRPr="00542064" w:rsidRDefault="0093285A" w:rsidP="0093285A">
            <w:pPr>
              <w:jc w:val="center"/>
              <w:rPr>
                <w:b/>
                <w:color w:val="000000"/>
                <w:sz w:val="20"/>
                <w:szCs w:val="20"/>
              </w:rPr>
            </w:pPr>
            <w:r w:rsidRPr="00542064">
              <w:rPr>
                <w:b/>
                <w:color w:val="000000"/>
                <w:sz w:val="20"/>
                <w:szCs w:val="20"/>
              </w:rPr>
              <w:t>Q Stat</w:t>
            </w:r>
          </w:p>
        </w:tc>
        <w:tc>
          <w:tcPr>
            <w:tcW w:w="1050" w:type="dxa"/>
            <w:shd w:val="clear" w:color="auto" w:fill="auto"/>
            <w:noWrap/>
            <w:vAlign w:val="bottom"/>
            <w:hideMark/>
          </w:tcPr>
          <w:p w:rsidR="0093285A" w:rsidRPr="00542064" w:rsidRDefault="0093285A" w:rsidP="0093285A">
            <w:pPr>
              <w:jc w:val="center"/>
              <w:rPr>
                <w:b/>
                <w:color w:val="000000"/>
                <w:sz w:val="20"/>
                <w:szCs w:val="20"/>
              </w:rPr>
            </w:pPr>
            <w:r w:rsidRPr="00542064">
              <w:rPr>
                <w:b/>
                <w:color w:val="000000"/>
                <w:sz w:val="20"/>
                <w:szCs w:val="20"/>
              </w:rPr>
              <w:t>Prob</w:t>
            </w:r>
          </w:p>
        </w:tc>
      </w:tr>
      <w:tr w:rsidR="0093285A" w:rsidRPr="00542064" w:rsidTr="006D3DDF">
        <w:trPr>
          <w:trHeight w:val="57"/>
          <w:jc w:val="center"/>
        </w:trPr>
        <w:tc>
          <w:tcPr>
            <w:tcW w:w="1209" w:type="dxa"/>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1</w:t>
            </w:r>
          </w:p>
        </w:tc>
        <w:tc>
          <w:tcPr>
            <w:tcW w:w="960" w:type="dxa"/>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0.4710</w:t>
            </w:r>
          </w:p>
        </w:tc>
        <w:tc>
          <w:tcPr>
            <w:tcW w:w="960" w:type="dxa"/>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0.4710</w:t>
            </w:r>
          </w:p>
        </w:tc>
        <w:tc>
          <w:tcPr>
            <w:tcW w:w="960" w:type="dxa"/>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161.38</w:t>
            </w:r>
          </w:p>
        </w:tc>
        <w:tc>
          <w:tcPr>
            <w:tcW w:w="1050" w:type="dxa"/>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w:t>
            </w:r>
          </w:p>
        </w:tc>
      </w:tr>
      <w:tr w:rsidR="0093285A" w:rsidRPr="00542064" w:rsidTr="006D3DDF">
        <w:trPr>
          <w:trHeight w:val="57"/>
          <w:jc w:val="center"/>
        </w:trPr>
        <w:tc>
          <w:tcPr>
            <w:tcW w:w="1209" w:type="dxa"/>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2</w:t>
            </w:r>
          </w:p>
        </w:tc>
        <w:tc>
          <w:tcPr>
            <w:tcW w:w="960" w:type="dxa"/>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0.3710</w:t>
            </w:r>
          </w:p>
        </w:tc>
        <w:tc>
          <w:tcPr>
            <w:tcW w:w="960" w:type="dxa"/>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0.1930</w:t>
            </w:r>
          </w:p>
        </w:tc>
        <w:tc>
          <w:tcPr>
            <w:tcW w:w="960" w:type="dxa"/>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262.01</w:t>
            </w:r>
          </w:p>
        </w:tc>
        <w:tc>
          <w:tcPr>
            <w:tcW w:w="1050" w:type="dxa"/>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w:t>
            </w:r>
          </w:p>
        </w:tc>
      </w:tr>
      <w:tr w:rsidR="0093285A" w:rsidRPr="00542064" w:rsidTr="006D3DDF">
        <w:trPr>
          <w:trHeight w:val="57"/>
          <w:jc w:val="center"/>
        </w:trPr>
        <w:tc>
          <w:tcPr>
            <w:tcW w:w="1209" w:type="dxa"/>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3</w:t>
            </w:r>
          </w:p>
        </w:tc>
        <w:tc>
          <w:tcPr>
            <w:tcW w:w="960" w:type="dxa"/>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0.3210</w:t>
            </w:r>
          </w:p>
        </w:tc>
        <w:tc>
          <w:tcPr>
            <w:tcW w:w="960" w:type="dxa"/>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0.1190</w:t>
            </w:r>
          </w:p>
        </w:tc>
        <w:tc>
          <w:tcPr>
            <w:tcW w:w="960" w:type="dxa"/>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337.38</w:t>
            </w:r>
          </w:p>
        </w:tc>
        <w:tc>
          <w:tcPr>
            <w:tcW w:w="1050" w:type="dxa"/>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0.0000</w:t>
            </w:r>
          </w:p>
        </w:tc>
      </w:tr>
      <w:tr w:rsidR="0093285A" w:rsidRPr="00542064" w:rsidTr="006D3DDF">
        <w:trPr>
          <w:trHeight w:val="57"/>
          <w:jc w:val="center"/>
        </w:trPr>
        <w:tc>
          <w:tcPr>
            <w:tcW w:w="1209" w:type="dxa"/>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4</w:t>
            </w:r>
          </w:p>
        </w:tc>
        <w:tc>
          <w:tcPr>
            <w:tcW w:w="960" w:type="dxa"/>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0.2850</w:t>
            </w:r>
          </w:p>
        </w:tc>
        <w:tc>
          <w:tcPr>
            <w:tcW w:w="960" w:type="dxa"/>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0.0800</w:t>
            </w:r>
          </w:p>
        </w:tc>
        <w:tc>
          <w:tcPr>
            <w:tcW w:w="960" w:type="dxa"/>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396.69</w:t>
            </w:r>
          </w:p>
        </w:tc>
        <w:tc>
          <w:tcPr>
            <w:tcW w:w="1050" w:type="dxa"/>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0.0000</w:t>
            </w:r>
          </w:p>
        </w:tc>
      </w:tr>
      <w:tr w:rsidR="0093285A" w:rsidRPr="00542064" w:rsidTr="006D3DDF">
        <w:trPr>
          <w:trHeight w:val="57"/>
          <w:jc w:val="center"/>
        </w:trPr>
        <w:tc>
          <w:tcPr>
            <w:tcW w:w="1209" w:type="dxa"/>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5</w:t>
            </w:r>
          </w:p>
        </w:tc>
        <w:tc>
          <w:tcPr>
            <w:tcW w:w="960" w:type="dxa"/>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0.3380</w:t>
            </w:r>
          </w:p>
        </w:tc>
        <w:tc>
          <w:tcPr>
            <w:tcW w:w="960" w:type="dxa"/>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0.1690</w:t>
            </w:r>
          </w:p>
        </w:tc>
        <w:tc>
          <w:tcPr>
            <w:tcW w:w="960" w:type="dxa"/>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480.30</w:t>
            </w:r>
          </w:p>
        </w:tc>
        <w:tc>
          <w:tcPr>
            <w:tcW w:w="1050" w:type="dxa"/>
            <w:shd w:val="clear" w:color="auto" w:fill="auto"/>
            <w:noWrap/>
            <w:vAlign w:val="bottom"/>
            <w:hideMark/>
          </w:tcPr>
          <w:p w:rsidR="0093285A" w:rsidRPr="00542064" w:rsidRDefault="0093285A" w:rsidP="0093285A">
            <w:pPr>
              <w:jc w:val="center"/>
              <w:rPr>
                <w:color w:val="000000"/>
                <w:sz w:val="20"/>
                <w:szCs w:val="20"/>
              </w:rPr>
            </w:pPr>
            <w:r w:rsidRPr="00542064">
              <w:rPr>
                <w:color w:val="000000"/>
                <w:sz w:val="20"/>
                <w:szCs w:val="20"/>
              </w:rPr>
              <w:t>0.0000</w:t>
            </w:r>
          </w:p>
        </w:tc>
      </w:tr>
    </w:tbl>
    <w:p w:rsidR="0093285A" w:rsidRPr="0093285A" w:rsidRDefault="0093285A" w:rsidP="0093285A">
      <w:pPr>
        <w:jc w:val="both"/>
        <w:rPr>
          <w:sz w:val="20"/>
          <w:szCs w:val="20"/>
        </w:rPr>
      </w:pPr>
      <w:r w:rsidRPr="00542064">
        <w:rPr>
          <w:sz w:val="20"/>
          <w:szCs w:val="20"/>
        </w:rPr>
        <w:t>*Autocorrelation</w:t>
      </w:r>
      <w:r>
        <w:rPr>
          <w:sz w:val="20"/>
          <w:szCs w:val="20"/>
        </w:rPr>
        <w:t xml:space="preserve">, </w:t>
      </w:r>
      <w:r w:rsidRPr="00542064">
        <w:rPr>
          <w:sz w:val="20"/>
          <w:szCs w:val="20"/>
        </w:rPr>
        <w:t>**Partial Autocorrelation</w:t>
      </w:r>
    </w:p>
    <w:p w:rsidR="0093285A" w:rsidRDefault="0093285A" w:rsidP="0093285A">
      <w:pPr>
        <w:jc w:val="both"/>
        <w:rPr>
          <w:sz w:val="20"/>
          <w:szCs w:val="20"/>
        </w:rPr>
      </w:pPr>
    </w:p>
    <w:p w:rsidR="0093285A" w:rsidRDefault="0093285A" w:rsidP="0093285A">
      <w:pPr>
        <w:jc w:val="both"/>
        <w:rPr>
          <w:sz w:val="20"/>
          <w:szCs w:val="20"/>
        </w:rPr>
      </w:pPr>
      <w:r w:rsidRPr="0093285A">
        <w:rPr>
          <w:sz w:val="20"/>
          <w:szCs w:val="20"/>
        </w:rPr>
        <w:t>The correlogram was estimated using 10 lags. It shows autocorrelation in squared residuals which could be due to volatility clustering. Thus to check for the presence of ARCH effect, we perform ARCH-LM test (5 lags) on KSE 100 return and report salient statistics in table 5.</w:t>
      </w:r>
    </w:p>
    <w:p w:rsidR="0093285A" w:rsidRDefault="0093285A" w:rsidP="0093285A">
      <w:pPr>
        <w:jc w:val="both"/>
        <w:rPr>
          <w:sz w:val="20"/>
          <w:szCs w:val="20"/>
        </w:rPr>
      </w:pPr>
    </w:p>
    <w:p w:rsidR="0093285A" w:rsidRDefault="0093285A" w:rsidP="0093285A">
      <w:pPr>
        <w:jc w:val="center"/>
        <w:rPr>
          <w:b/>
          <w:sz w:val="20"/>
          <w:szCs w:val="20"/>
        </w:rPr>
      </w:pPr>
      <w:r w:rsidRPr="00542064">
        <w:rPr>
          <w:b/>
          <w:sz w:val="20"/>
          <w:szCs w:val="20"/>
        </w:rPr>
        <w:t>Table</w:t>
      </w:r>
      <w:r>
        <w:rPr>
          <w:b/>
          <w:sz w:val="20"/>
          <w:szCs w:val="20"/>
        </w:rPr>
        <w:t>-</w:t>
      </w:r>
      <w:r w:rsidRPr="00542064">
        <w:rPr>
          <w:b/>
          <w:sz w:val="20"/>
          <w:szCs w:val="20"/>
        </w:rPr>
        <w:t>5</w:t>
      </w:r>
    </w:p>
    <w:p w:rsidR="0093285A" w:rsidRPr="0093285A" w:rsidRDefault="0093285A" w:rsidP="0093285A">
      <w:pPr>
        <w:jc w:val="center"/>
        <w:rPr>
          <w:sz w:val="20"/>
          <w:szCs w:val="20"/>
        </w:rPr>
      </w:pPr>
      <w:r w:rsidRPr="00542064">
        <w:rPr>
          <w:b/>
          <w:sz w:val="20"/>
          <w:szCs w:val="20"/>
        </w:rPr>
        <w:t>ARCH LM Test (5 Lags Included)</w:t>
      </w:r>
    </w:p>
    <w:tbl>
      <w:tblPr>
        <w:tblStyle w:val="TableGrid"/>
        <w:tblW w:w="0" w:type="auto"/>
        <w:tblInd w:w="108" w:type="dxa"/>
        <w:tblLook w:val="04A0"/>
      </w:tblPr>
      <w:tblGrid>
        <w:gridCol w:w="1890"/>
        <w:gridCol w:w="1051"/>
        <w:gridCol w:w="1303"/>
        <w:gridCol w:w="1042"/>
      </w:tblGrid>
      <w:tr w:rsidR="0093285A" w:rsidTr="006D3DDF">
        <w:tc>
          <w:tcPr>
            <w:tcW w:w="1890" w:type="dxa"/>
          </w:tcPr>
          <w:p w:rsidR="0093285A" w:rsidRPr="001E0C73" w:rsidRDefault="0093285A" w:rsidP="0093285A">
            <w:pPr>
              <w:jc w:val="both"/>
              <w:rPr>
                <w:b/>
                <w:sz w:val="20"/>
                <w:szCs w:val="20"/>
              </w:rPr>
            </w:pPr>
            <w:r w:rsidRPr="001E0C73">
              <w:rPr>
                <w:sz w:val="20"/>
                <w:szCs w:val="20"/>
              </w:rPr>
              <w:t>ARCH Test</w:t>
            </w:r>
          </w:p>
        </w:tc>
        <w:tc>
          <w:tcPr>
            <w:tcW w:w="1051" w:type="dxa"/>
          </w:tcPr>
          <w:p w:rsidR="0093285A" w:rsidRPr="001E0C73" w:rsidRDefault="0093285A" w:rsidP="0093285A">
            <w:pPr>
              <w:jc w:val="center"/>
              <w:rPr>
                <w:b/>
                <w:sz w:val="20"/>
                <w:szCs w:val="20"/>
              </w:rPr>
            </w:pPr>
          </w:p>
        </w:tc>
        <w:tc>
          <w:tcPr>
            <w:tcW w:w="1303" w:type="dxa"/>
          </w:tcPr>
          <w:p w:rsidR="0093285A" w:rsidRPr="001E0C73" w:rsidRDefault="0093285A" w:rsidP="0093285A">
            <w:pPr>
              <w:jc w:val="center"/>
              <w:rPr>
                <w:b/>
                <w:sz w:val="20"/>
                <w:szCs w:val="20"/>
              </w:rPr>
            </w:pPr>
          </w:p>
        </w:tc>
        <w:tc>
          <w:tcPr>
            <w:tcW w:w="1042" w:type="dxa"/>
          </w:tcPr>
          <w:p w:rsidR="0093285A" w:rsidRPr="001E0C73" w:rsidRDefault="0093285A" w:rsidP="0093285A">
            <w:pPr>
              <w:jc w:val="center"/>
              <w:rPr>
                <w:b/>
                <w:sz w:val="20"/>
                <w:szCs w:val="20"/>
              </w:rPr>
            </w:pPr>
          </w:p>
        </w:tc>
      </w:tr>
      <w:tr w:rsidR="0093285A" w:rsidTr="006D3DDF">
        <w:tc>
          <w:tcPr>
            <w:tcW w:w="1890" w:type="dxa"/>
            <w:vAlign w:val="bottom"/>
          </w:tcPr>
          <w:p w:rsidR="0093285A" w:rsidRPr="001E0C73" w:rsidRDefault="0093285A" w:rsidP="0093285A">
            <w:pPr>
              <w:widowControl w:val="0"/>
              <w:autoSpaceDE w:val="0"/>
              <w:autoSpaceDN w:val="0"/>
              <w:adjustRightInd w:val="0"/>
              <w:ind w:left="40"/>
              <w:rPr>
                <w:sz w:val="20"/>
                <w:szCs w:val="20"/>
              </w:rPr>
            </w:pPr>
            <w:r w:rsidRPr="001E0C73">
              <w:rPr>
                <w:sz w:val="20"/>
                <w:szCs w:val="20"/>
              </w:rPr>
              <w:t>F-statistic</w:t>
            </w:r>
          </w:p>
        </w:tc>
        <w:tc>
          <w:tcPr>
            <w:tcW w:w="1051" w:type="dxa"/>
            <w:vAlign w:val="bottom"/>
          </w:tcPr>
          <w:p w:rsidR="0093285A" w:rsidRPr="001E0C73" w:rsidRDefault="0093285A" w:rsidP="0093285A">
            <w:pPr>
              <w:widowControl w:val="0"/>
              <w:autoSpaceDE w:val="0"/>
              <w:autoSpaceDN w:val="0"/>
              <w:adjustRightInd w:val="0"/>
              <w:ind w:right="40"/>
              <w:jc w:val="right"/>
              <w:rPr>
                <w:sz w:val="20"/>
                <w:szCs w:val="20"/>
              </w:rPr>
            </w:pPr>
            <w:r w:rsidRPr="001E0C73">
              <w:rPr>
                <w:sz w:val="20"/>
                <w:szCs w:val="20"/>
              </w:rPr>
              <w:t>57.48564</w:t>
            </w:r>
          </w:p>
        </w:tc>
        <w:tc>
          <w:tcPr>
            <w:tcW w:w="1303" w:type="dxa"/>
            <w:vAlign w:val="bottom"/>
          </w:tcPr>
          <w:p w:rsidR="0093285A" w:rsidRPr="001E0C73" w:rsidRDefault="0093285A" w:rsidP="0093285A">
            <w:pPr>
              <w:widowControl w:val="0"/>
              <w:autoSpaceDE w:val="0"/>
              <w:autoSpaceDN w:val="0"/>
              <w:adjustRightInd w:val="0"/>
              <w:ind w:left="160"/>
              <w:rPr>
                <w:sz w:val="20"/>
                <w:szCs w:val="20"/>
              </w:rPr>
            </w:pPr>
            <w:r w:rsidRPr="001E0C73">
              <w:rPr>
                <w:sz w:val="20"/>
                <w:szCs w:val="20"/>
              </w:rPr>
              <w:t>Probability</w:t>
            </w:r>
          </w:p>
        </w:tc>
        <w:tc>
          <w:tcPr>
            <w:tcW w:w="1042" w:type="dxa"/>
            <w:vAlign w:val="bottom"/>
          </w:tcPr>
          <w:p w:rsidR="0093285A" w:rsidRPr="001E0C73" w:rsidRDefault="0093285A" w:rsidP="0093285A">
            <w:pPr>
              <w:widowControl w:val="0"/>
              <w:autoSpaceDE w:val="0"/>
              <w:autoSpaceDN w:val="0"/>
              <w:adjustRightInd w:val="0"/>
              <w:ind w:right="40"/>
              <w:jc w:val="right"/>
              <w:rPr>
                <w:sz w:val="20"/>
                <w:szCs w:val="20"/>
              </w:rPr>
            </w:pPr>
            <w:r w:rsidRPr="001E0C73">
              <w:rPr>
                <w:sz w:val="20"/>
                <w:szCs w:val="20"/>
              </w:rPr>
              <w:t>0.000000</w:t>
            </w:r>
          </w:p>
        </w:tc>
      </w:tr>
      <w:tr w:rsidR="0093285A" w:rsidTr="006D3DDF">
        <w:tc>
          <w:tcPr>
            <w:tcW w:w="1890" w:type="dxa"/>
            <w:vAlign w:val="bottom"/>
          </w:tcPr>
          <w:p w:rsidR="0093285A" w:rsidRPr="001E0C73" w:rsidRDefault="0093285A" w:rsidP="0093285A">
            <w:pPr>
              <w:widowControl w:val="0"/>
              <w:autoSpaceDE w:val="0"/>
              <w:autoSpaceDN w:val="0"/>
              <w:adjustRightInd w:val="0"/>
              <w:ind w:left="40"/>
              <w:rPr>
                <w:sz w:val="20"/>
                <w:szCs w:val="20"/>
              </w:rPr>
            </w:pPr>
            <w:r w:rsidRPr="001E0C73">
              <w:rPr>
                <w:sz w:val="20"/>
                <w:szCs w:val="20"/>
              </w:rPr>
              <w:t>Obs*R- squared</w:t>
            </w:r>
          </w:p>
        </w:tc>
        <w:tc>
          <w:tcPr>
            <w:tcW w:w="1051" w:type="dxa"/>
            <w:vAlign w:val="bottom"/>
          </w:tcPr>
          <w:p w:rsidR="0093285A" w:rsidRPr="001E0C73" w:rsidRDefault="0093285A" w:rsidP="0093285A">
            <w:pPr>
              <w:widowControl w:val="0"/>
              <w:autoSpaceDE w:val="0"/>
              <w:autoSpaceDN w:val="0"/>
              <w:adjustRightInd w:val="0"/>
              <w:ind w:right="40"/>
              <w:jc w:val="right"/>
              <w:rPr>
                <w:sz w:val="20"/>
                <w:szCs w:val="20"/>
              </w:rPr>
            </w:pPr>
            <w:r w:rsidRPr="001E0C73">
              <w:rPr>
                <w:sz w:val="20"/>
                <w:szCs w:val="20"/>
              </w:rPr>
              <w:t>206.7337</w:t>
            </w:r>
          </w:p>
        </w:tc>
        <w:tc>
          <w:tcPr>
            <w:tcW w:w="1303" w:type="dxa"/>
            <w:vAlign w:val="bottom"/>
          </w:tcPr>
          <w:p w:rsidR="0093285A" w:rsidRPr="001E0C73" w:rsidRDefault="0093285A" w:rsidP="0093285A">
            <w:pPr>
              <w:widowControl w:val="0"/>
              <w:autoSpaceDE w:val="0"/>
              <w:autoSpaceDN w:val="0"/>
              <w:adjustRightInd w:val="0"/>
              <w:ind w:left="160"/>
              <w:rPr>
                <w:sz w:val="20"/>
                <w:szCs w:val="20"/>
              </w:rPr>
            </w:pPr>
            <w:r w:rsidRPr="001E0C73">
              <w:rPr>
                <w:sz w:val="20"/>
                <w:szCs w:val="20"/>
              </w:rPr>
              <w:t>Probability</w:t>
            </w:r>
          </w:p>
        </w:tc>
        <w:tc>
          <w:tcPr>
            <w:tcW w:w="1042" w:type="dxa"/>
            <w:vAlign w:val="bottom"/>
          </w:tcPr>
          <w:p w:rsidR="0093285A" w:rsidRPr="001E0C73" w:rsidRDefault="0093285A" w:rsidP="0093285A">
            <w:pPr>
              <w:widowControl w:val="0"/>
              <w:autoSpaceDE w:val="0"/>
              <w:autoSpaceDN w:val="0"/>
              <w:adjustRightInd w:val="0"/>
              <w:ind w:right="40"/>
              <w:jc w:val="right"/>
              <w:rPr>
                <w:sz w:val="20"/>
                <w:szCs w:val="20"/>
              </w:rPr>
            </w:pPr>
            <w:r w:rsidRPr="001E0C73">
              <w:rPr>
                <w:sz w:val="20"/>
                <w:szCs w:val="20"/>
              </w:rPr>
              <w:t>0.000000</w:t>
            </w:r>
          </w:p>
        </w:tc>
      </w:tr>
    </w:tbl>
    <w:p w:rsidR="0093285A" w:rsidRPr="0093285A" w:rsidRDefault="0093285A" w:rsidP="0093285A">
      <w:pPr>
        <w:jc w:val="both"/>
        <w:rPr>
          <w:sz w:val="20"/>
          <w:szCs w:val="20"/>
        </w:rPr>
      </w:pPr>
    </w:p>
    <w:p w:rsidR="0093285A" w:rsidRDefault="0093285A" w:rsidP="0093285A">
      <w:pPr>
        <w:jc w:val="both"/>
        <w:rPr>
          <w:sz w:val="20"/>
          <w:szCs w:val="20"/>
        </w:rPr>
      </w:pPr>
      <w:r w:rsidRPr="0093285A">
        <w:rPr>
          <w:sz w:val="20"/>
          <w:szCs w:val="20"/>
        </w:rPr>
        <w:t>The reported F and LM statistics indicate presence of ARCH effects in KSE 100 daily returns identifying non normality of index. Once the presence of ARCH effect has been established we move to the second phase which is the use of GARCH (p, q) type model to analyze the volatility in returns. We will use GARCH (1, 1) process which is the most commonly used measure to model the volatility of returns. The results from GARCH (1, 1) model are reported in table 6.</w:t>
      </w:r>
    </w:p>
    <w:p w:rsidR="006D3DDF" w:rsidRDefault="006D3DDF" w:rsidP="0093285A">
      <w:pPr>
        <w:jc w:val="both"/>
        <w:rPr>
          <w:sz w:val="20"/>
          <w:szCs w:val="20"/>
        </w:rPr>
        <w:sectPr w:rsidR="006D3DDF" w:rsidSect="006D3DDF">
          <w:type w:val="continuous"/>
          <w:pgSz w:w="12240" w:h="15840" w:code="1"/>
          <w:pgMar w:top="1440" w:right="749" w:bottom="1440" w:left="907" w:header="720" w:footer="720" w:gutter="0"/>
          <w:cols w:num="2" w:space="227"/>
          <w:docGrid w:linePitch="360"/>
        </w:sectPr>
      </w:pPr>
    </w:p>
    <w:p w:rsidR="0093285A" w:rsidRDefault="0093285A" w:rsidP="0093285A">
      <w:pPr>
        <w:jc w:val="both"/>
        <w:rPr>
          <w:sz w:val="20"/>
          <w:szCs w:val="20"/>
        </w:rPr>
      </w:pPr>
    </w:p>
    <w:p w:rsidR="0093285A" w:rsidRDefault="0093285A" w:rsidP="0093285A">
      <w:pPr>
        <w:jc w:val="center"/>
        <w:rPr>
          <w:b/>
          <w:bCs/>
          <w:sz w:val="20"/>
          <w:szCs w:val="20"/>
        </w:rPr>
      </w:pPr>
      <w:r w:rsidRPr="00542064">
        <w:rPr>
          <w:b/>
          <w:bCs/>
          <w:sz w:val="20"/>
          <w:szCs w:val="20"/>
        </w:rPr>
        <w:t>Table</w:t>
      </w:r>
      <w:r>
        <w:rPr>
          <w:b/>
          <w:bCs/>
          <w:sz w:val="20"/>
          <w:szCs w:val="20"/>
        </w:rPr>
        <w:t>-</w:t>
      </w:r>
      <w:r w:rsidRPr="00542064">
        <w:rPr>
          <w:b/>
          <w:bCs/>
          <w:sz w:val="20"/>
          <w:szCs w:val="20"/>
        </w:rPr>
        <w:t>6</w:t>
      </w:r>
    </w:p>
    <w:p w:rsidR="0093285A" w:rsidRPr="0093285A" w:rsidRDefault="0093285A" w:rsidP="0093285A">
      <w:pPr>
        <w:jc w:val="center"/>
        <w:rPr>
          <w:sz w:val="20"/>
          <w:szCs w:val="20"/>
        </w:rPr>
      </w:pPr>
      <w:r w:rsidRPr="00542064">
        <w:rPr>
          <w:b/>
          <w:bCs/>
          <w:sz w:val="20"/>
          <w:szCs w:val="20"/>
        </w:rPr>
        <w:t>GARCH (1,1)</w:t>
      </w:r>
    </w:p>
    <w:tbl>
      <w:tblPr>
        <w:tblStyle w:val="TableGrid"/>
        <w:tblW w:w="0" w:type="auto"/>
        <w:tblInd w:w="250" w:type="dxa"/>
        <w:tblLook w:val="04A0"/>
      </w:tblPr>
      <w:tblGrid>
        <w:gridCol w:w="1910"/>
        <w:gridCol w:w="2160"/>
        <w:gridCol w:w="2160"/>
        <w:gridCol w:w="2160"/>
        <w:gridCol w:w="1958"/>
      </w:tblGrid>
      <w:tr w:rsidR="0093285A" w:rsidRPr="001E0C73" w:rsidTr="0093285A">
        <w:tc>
          <w:tcPr>
            <w:tcW w:w="1910" w:type="dxa"/>
          </w:tcPr>
          <w:p w:rsidR="0093285A" w:rsidRPr="001E0C73" w:rsidRDefault="0093285A" w:rsidP="0093285A">
            <w:pPr>
              <w:jc w:val="both"/>
              <w:rPr>
                <w:sz w:val="20"/>
                <w:szCs w:val="20"/>
              </w:rPr>
            </w:pPr>
          </w:p>
        </w:tc>
        <w:tc>
          <w:tcPr>
            <w:tcW w:w="2160" w:type="dxa"/>
            <w:vAlign w:val="center"/>
          </w:tcPr>
          <w:p w:rsidR="0093285A" w:rsidRPr="001E0C73" w:rsidRDefault="0093285A" w:rsidP="0093285A">
            <w:pPr>
              <w:widowControl w:val="0"/>
              <w:autoSpaceDE w:val="0"/>
              <w:autoSpaceDN w:val="0"/>
              <w:adjustRightInd w:val="0"/>
              <w:jc w:val="center"/>
              <w:rPr>
                <w:b/>
                <w:sz w:val="20"/>
                <w:szCs w:val="20"/>
              </w:rPr>
            </w:pPr>
            <w:r w:rsidRPr="001E0C73">
              <w:rPr>
                <w:b/>
                <w:w w:val="99"/>
                <w:sz w:val="20"/>
                <w:szCs w:val="20"/>
              </w:rPr>
              <w:t>Coefficient</w:t>
            </w:r>
          </w:p>
        </w:tc>
        <w:tc>
          <w:tcPr>
            <w:tcW w:w="2160" w:type="dxa"/>
            <w:vAlign w:val="center"/>
          </w:tcPr>
          <w:p w:rsidR="0093285A" w:rsidRPr="001E0C73" w:rsidRDefault="0093285A" w:rsidP="0093285A">
            <w:pPr>
              <w:widowControl w:val="0"/>
              <w:autoSpaceDE w:val="0"/>
              <w:autoSpaceDN w:val="0"/>
              <w:adjustRightInd w:val="0"/>
              <w:ind w:left="360"/>
              <w:jc w:val="center"/>
              <w:rPr>
                <w:b/>
                <w:sz w:val="20"/>
                <w:szCs w:val="20"/>
              </w:rPr>
            </w:pPr>
            <w:r w:rsidRPr="001E0C73">
              <w:rPr>
                <w:b/>
                <w:sz w:val="20"/>
                <w:szCs w:val="20"/>
              </w:rPr>
              <w:t>Std. Error</w:t>
            </w:r>
          </w:p>
        </w:tc>
        <w:tc>
          <w:tcPr>
            <w:tcW w:w="2160" w:type="dxa"/>
            <w:vAlign w:val="center"/>
          </w:tcPr>
          <w:p w:rsidR="0093285A" w:rsidRPr="001E0C73" w:rsidRDefault="0093285A" w:rsidP="0093285A">
            <w:pPr>
              <w:widowControl w:val="0"/>
              <w:autoSpaceDE w:val="0"/>
              <w:autoSpaceDN w:val="0"/>
              <w:adjustRightInd w:val="0"/>
              <w:jc w:val="center"/>
              <w:rPr>
                <w:b/>
                <w:sz w:val="20"/>
                <w:szCs w:val="20"/>
              </w:rPr>
            </w:pPr>
            <w:r w:rsidRPr="001E0C73">
              <w:rPr>
                <w:b/>
                <w:w w:val="99"/>
                <w:sz w:val="20"/>
                <w:szCs w:val="20"/>
              </w:rPr>
              <w:t>z-Statistic</w:t>
            </w:r>
          </w:p>
        </w:tc>
        <w:tc>
          <w:tcPr>
            <w:tcW w:w="1958" w:type="dxa"/>
            <w:vAlign w:val="center"/>
          </w:tcPr>
          <w:p w:rsidR="0093285A" w:rsidRPr="001E0C73" w:rsidRDefault="0093285A" w:rsidP="0093285A">
            <w:pPr>
              <w:widowControl w:val="0"/>
              <w:autoSpaceDE w:val="0"/>
              <w:autoSpaceDN w:val="0"/>
              <w:adjustRightInd w:val="0"/>
              <w:ind w:right="40"/>
              <w:jc w:val="center"/>
              <w:rPr>
                <w:b/>
                <w:sz w:val="20"/>
                <w:szCs w:val="20"/>
              </w:rPr>
            </w:pPr>
            <w:r w:rsidRPr="001E0C73">
              <w:rPr>
                <w:b/>
                <w:sz w:val="20"/>
                <w:szCs w:val="20"/>
              </w:rPr>
              <w:t>Prob.</w:t>
            </w:r>
          </w:p>
        </w:tc>
      </w:tr>
      <w:tr w:rsidR="0093285A" w:rsidRPr="001E0C73" w:rsidTr="0093285A">
        <w:tc>
          <w:tcPr>
            <w:tcW w:w="1910" w:type="dxa"/>
            <w:vAlign w:val="bottom"/>
          </w:tcPr>
          <w:p w:rsidR="0093285A" w:rsidRPr="001E0C73" w:rsidRDefault="0093285A" w:rsidP="0093285A">
            <w:pPr>
              <w:widowControl w:val="0"/>
              <w:autoSpaceDE w:val="0"/>
              <w:autoSpaceDN w:val="0"/>
              <w:adjustRightInd w:val="0"/>
              <w:jc w:val="center"/>
              <w:rPr>
                <w:sz w:val="20"/>
                <w:szCs w:val="20"/>
              </w:rPr>
            </w:pPr>
            <w:r w:rsidRPr="001E0C73">
              <w:rPr>
                <w:w w:val="89"/>
                <w:sz w:val="20"/>
                <w:szCs w:val="20"/>
              </w:rPr>
              <w:t>C</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0.002286</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0.000448</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5.105744</w:t>
            </w:r>
          </w:p>
        </w:tc>
        <w:tc>
          <w:tcPr>
            <w:tcW w:w="1958"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0.0000</w:t>
            </w:r>
          </w:p>
        </w:tc>
      </w:tr>
      <w:tr w:rsidR="0093285A" w:rsidRPr="001E0C73" w:rsidTr="0093285A">
        <w:tc>
          <w:tcPr>
            <w:tcW w:w="1910"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AR(1)</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0.056610</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0.040306</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1.404496</w:t>
            </w:r>
          </w:p>
        </w:tc>
        <w:tc>
          <w:tcPr>
            <w:tcW w:w="1958"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0.1602</w:t>
            </w:r>
          </w:p>
        </w:tc>
      </w:tr>
      <w:tr w:rsidR="0093285A" w:rsidRPr="001E0C73" w:rsidTr="0093285A">
        <w:tc>
          <w:tcPr>
            <w:tcW w:w="10348" w:type="dxa"/>
            <w:gridSpan w:val="5"/>
            <w:vAlign w:val="bottom"/>
          </w:tcPr>
          <w:p w:rsidR="0093285A" w:rsidRPr="001E0C73" w:rsidRDefault="0093285A" w:rsidP="0093285A">
            <w:pPr>
              <w:widowControl w:val="0"/>
              <w:autoSpaceDE w:val="0"/>
              <w:autoSpaceDN w:val="0"/>
              <w:adjustRightInd w:val="0"/>
              <w:jc w:val="center"/>
              <w:rPr>
                <w:sz w:val="20"/>
                <w:szCs w:val="20"/>
              </w:rPr>
            </w:pPr>
            <w:r w:rsidRPr="001E0C73">
              <w:rPr>
                <w:b/>
                <w:sz w:val="20"/>
                <w:szCs w:val="20"/>
              </w:rPr>
              <w:t>Variance Equation</w:t>
            </w:r>
          </w:p>
        </w:tc>
      </w:tr>
      <w:tr w:rsidR="0093285A" w:rsidRPr="001E0C73" w:rsidTr="0093285A">
        <w:tc>
          <w:tcPr>
            <w:tcW w:w="1910" w:type="dxa"/>
            <w:vAlign w:val="bottom"/>
          </w:tcPr>
          <w:p w:rsidR="0093285A" w:rsidRPr="001E0C73" w:rsidRDefault="0093285A" w:rsidP="0093285A">
            <w:pPr>
              <w:widowControl w:val="0"/>
              <w:autoSpaceDE w:val="0"/>
              <w:autoSpaceDN w:val="0"/>
              <w:adjustRightInd w:val="0"/>
              <w:jc w:val="center"/>
              <w:rPr>
                <w:sz w:val="20"/>
                <w:szCs w:val="20"/>
              </w:rPr>
            </w:pPr>
            <w:r w:rsidRPr="001E0C73">
              <w:rPr>
                <w:w w:val="89"/>
                <w:sz w:val="20"/>
                <w:szCs w:val="20"/>
              </w:rPr>
              <w:t>C</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1.14E-05</w:t>
            </w:r>
          </w:p>
        </w:tc>
        <w:tc>
          <w:tcPr>
            <w:tcW w:w="2160" w:type="dxa"/>
            <w:vAlign w:val="bottom"/>
          </w:tcPr>
          <w:p w:rsidR="0093285A" w:rsidRPr="001E0C73" w:rsidRDefault="0093285A" w:rsidP="0093285A">
            <w:pPr>
              <w:widowControl w:val="0"/>
              <w:autoSpaceDE w:val="0"/>
              <w:autoSpaceDN w:val="0"/>
              <w:adjustRightInd w:val="0"/>
              <w:ind w:right="440"/>
              <w:jc w:val="center"/>
              <w:rPr>
                <w:sz w:val="20"/>
                <w:szCs w:val="20"/>
              </w:rPr>
            </w:pPr>
            <w:r w:rsidRPr="001E0C73">
              <w:rPr>
                <w:sz w:val="20"/>
                <w:szCs w:val="20"/>
              </w:rPr>
              <w:t>3.79E-06</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3.002746</w:t>
            </w:r>
          </w:p>
        </w:tc>
        <w:tc>
          <w:tcPr>
            <w:tcW w:w="1958"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0.0027</w:t>
            </w:r>
          </w:p>
        </w:tc>
      </w:tr>
      <w:tr w:rsidR="0093285A" w:rsidRPr="001E0C73" w:rsidTr="0093285A">
        <w:tc>
          <w:tcPr>
            <w:tcW w:w="1910"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RESID(-1)^2</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0.257178</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0.060214</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4.271084</w:t>
            </w:r>
          </w:p>
        </w:tc>
        <w:tc>
          <w:tcPr>
            <w:tcW w:w="1958"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0.0000</w:t>
            </w:r>
          </w:p>
        </w:tc>
      </w:tr>
      <w:tr w:rsidR="0093285A" w:rsidRPr="001E0C73" w:rsidTr="0093285A">
        <w:tc>
          <w:tcPr>
            <w:tcW w:w="1910" w:type="dxa"/>
            <w:vAlign w:val="bottom"/>
          </w:tcPr>
          <w:p w:rsidR="0093285A" w:rsidRPr="001E0C73" w:rsidRDefault="0093285A" w:rsidP="0093285A">
            <w:pPr>
              <w:widowControl w:val="0"/>
              <w:autoSpaceDE w:val="0"/>
              <w:autoSpaceDN w:val="0"/>
              <w:adjustRightInd w:val="0"/>
              <w:jc w:val="center"/>
              <w:rPr>
                <w:sz w:val="20"/>
                <w:szCs w:val="20"/>
              </w:rPr>
            </w:pPr>
            <w:r w:rsidRPr="001E0C73">
              <w:rPr>
                <w:w w:val="99"/>
                <w:sz w:val="20"/>
                <w:szCs w:val="20"/>
              </w:rPr>
              <w:t>GARCH(-1)</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0.713392</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0.050207</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14.20900</w:t>
            </w:r>
          </w:p>
        </w:tc>
        <w:tc>
          <w:tcPr>
            <w:tcW w:w="1958"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0.0000</w:t>
            </w:r>
          </w:p>
        </w:tc>
      </w:tr>
      <w:tr w:rsidR="0093285A" w:rsidRPr="001E0C73" w:rsidTr="0093285A">
        <w:tc>
          <w:tcPr>
            <w:tcW w:w="1910" w:type="dxa"/>
            <w:vAlign w:val="bottom"/>
          </w:tcPr>
          <w:p w:rsidR="0093285A" w:rsidRPr="001E0C73" w:rsidRDefault="0093285A" w:rsidP="0093285A">
            <w:pPr>
              <w:widowControl w:val="0"/>
              <w:autoSpaceDE w:val="0"/>
              <w:autoSpaceDN w:val="0"/>
              <w:adjustRightInd w:val="0"/>
              <w:jc w:val="center"/>
              <w:rPr>
                <w:sz w:val="20"/>
                <w:szCs w:val="20"/>
              </w:rPr>
            </w:pPr>
            <w:r w:rsidRPr="001E0C73">
              <w:rPr>
                <w:w w:val="98"/>
                <w:sz w:val="20"/>
                <w:szCs w:val="20"/>
              </w:rPr>
              <w:t>T-DIST. DOF</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9.600549</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3.727804</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2.575390</w:t>
            </w:r>
          </w:p>
        </w:tc>
        <w:tc>
          <w:tcPr>
            <w:tcW w:w="1958"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0.0100</w:t>
            </w:r>
          </w:p>
        </w:tc>
      </w:tr>
      <w:tr w:rsidR="0093285A" w:rsidRPr="001E0C73" w:rsidTr="0093285A">
        <w:tc>
          <w:tcPr>
            <w:tcW w:w="1910" w:type="dxa"/>
            <w:vAlign w:val="bottom"/>
          </w:tcPr>
          <w:p w:rsidR="0093285A" w:rsidRPr="001E0C73" w:rsidRDefault="0093285A" w:rsidP="0093285A">
            <w:pPr>
              <w:widowControl w:val="0"/>
              <w:autoSpaceDE w:val="0"/>
              <w:autoSpaceDN w:val="0"/>
              <w:adjustRightInd w:val="0"/>
              <w:ind w:left="40"/>
              <w:rPr>
                <w:sz w:val="20"/>
                <w:szCs w:val="20"/>
              </w:rPr>
            </w:pPr>
            <w:r w:rsidRPr="001E0C73">
              <w:rPr>
                <w:sz w:val="20"/>
                <w:szCs w:val="20"/>
              </w:rPr>
              <w:t>R-squared</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0.001296</w:t>
            </w:r>
          </w:p>
        </w:tc>
        <w:tc>
          <w:tcPr>
            <w:tcW w:w="2160" w:type="dxa"/>
            <w:vAlign w:val="bottom"/>
          </w:tcPr>
          <w:p w:rsidR="0093285A" w:rsidRPr="001E0C73" w:rsidRDefault="0093285A" w:rsidP="0093285A">
            <w:pPr>
              <w:widowControl w:val="0"/>
              <w:autoSpaceDE w:val="0"/>
              <w:autoSpaceDN w:val="0"/>
              <w:adjustRightInd w:val="0"/>
              <w:rPr>
                <w:sz w:val="20"/>
                <w:szCs w:val="20"/>
              </w:rPr>
            </w:pPr>
            <w:r w:rsidRPr="001E0C73">
              <w:rPr>
                <w:sz w:val="20"/>
                <w:szCs w:val="20"/>
              </w:rPr>
              <w:t>Mean dependent var</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p>
        </w:tc>
        <w:tc>
          <w:tcPr>
            <w:tcW w:w="1958"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0.001034</w:t>
            </w:r>
          </w:p>
        </w:tc>
      </w:tr>
      <w:tr w:rsidR="0093285A" w:rsidRPr="001E0C73" w:rsidTr="0093285A">
        <w:tc>
          <w:tcPr>
            <w:tcW w:w="1910" w:type="dxa"/>
            <w:vAlign w:val="bottom"/>
          </w:tcPr>
          <w:p w:rsidR="0093285A" w:rsidRPr="001E0C73" w:rsidRDefault="0093285A" w:rsidP="0093285A">
            <w:pPr>
              <w:widowControl w:val="0"/>
              <w:autoSpaceDE w:val="0"/>
              <w:autoSpaceDN w:val="0"/>
              <w:adjustRightInd w:val="0"/>
              <w:ind w:left="40"/>
              <w:rPr>
                <w:sz w:val="20"/>
                <w:szCs w:val="20"/>
              </w:rPr>
            </w:pPr>
            <w:r w:rsidRPr="001E0C73">
              <w:rPr>
                <w:sz w:val="20"/>
                <w:szCs w:val="20"/>
              </w:rPr>
              <w:t>Adjusted R-squared</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-0.005639</w:t>
            </w:r>
          </w:p>
        </w:tc>
        <w:tc>
          <w:tcPr>
            <w:tcW w:w="2160" w:type="dxa"/>
            <w:vAlign w:val="bottom"/>
          </w:tcPr>
          <w:p w:rsidR="0093285A" w:rsidRPr="001E0C73" w:rsidRDefault="0093285A" w:rsidP="0093285A">
            <w:pPr>
              <w:widowControl w:val="0"/>
              <w:autoSpaceDE w:val="0"/>
              <w:autoSpaceDN w:val="0"/>
              <w:adjustRightInd w:val="0"/>
              <w:rPr>
                <w:sz w:val="20"/>
                <w:szCs w:val="20"/>
              </w:rPr>
            </w:pPr>
            <w:r w:rsidRPr="001E0C73">
              <w:rPr>
                <w:sz w:val="20"/>
                <w:szCs w:val="20"/>
              </w:rPr>
              <w:t>S.D. dependent var</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p>
        </w:tc>
        <w:tc>
          <w:tcPr>
            <w:tcW w:w="1958"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0.016003</w:t>
            </w:r>
          </w:p>
        </w:tc>
      </w:tr>
      <w:tr w:rsidR="0093285A" w:rsidRPr="001E0C73" w:rsidTr="0093285A">
        <w:tc>
          <w:tcPr>
            <w:tcW w:w="1910" w:type="dxa"/>
            <w:vAlign w:val="bottom"/>
          </w:tcPr>
          <w:p w:rsidR="0093285A" w:rsidRPr="001E0C73" w:rsidRDefault="0093285A" w:rsidP="0093285A">
            <w:pPr>
              <w:widowControl w:val="0"/>
              <w:autoSpaceDE w:val="0"/>
              <w:autoSpaceDN w:val="0"/>
              <w:adjustRightInd w:val="0"/>
              <w:ind w:left="40"/>
              <w:rPr>
                <w:sz w:val="20"/>
                <w:szCs w:val="20"/>
              </w:rPr>
            </w:pPr>
            <w:r w:rsidRPr="001E0C73">
              <w:rPr>
                <w:sz w:val="20"/>
                <w:szCs w:val="20"/>
              </w:rPr>
              <w:t>S.E. of regression</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0.016048</w:t>
            </w:r>
          </w:p>
        </w:tc>
        <w:tc>
          <w:tcPr>
            <w:tcW w:w="2160" w:type="dxa"/>
            <w:vAlign w:val="bottom"/>
          </w:tcPr>
          <w:p w:rsidR="0093285A" w:rsidRPr="001E0C73" w:rsidRDefault="0093285A" w:rsidP="0093285A">
            <w:pPr>
              <w:widowControl w:val="0"/>
              <w:autoSpaceDE w:val="0"/>
              <w:autoSpaceDN w:val="0"/>
              <w:adjustRightInd w:val="0"/>
              <w:rPr>
                <w:sz w:val="20"/>
                <w:szCs w:val="20"/>
              </w:rPr>
            </w:pPr>
            <w:r w:rsidRPr="001E0C73">
              <w:rPr>
                <w:sz w:val="20"/>
                <w:szCs w:val="20"/>
              </w:rPr>
              <w:t>Akaike info criterion</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p>
        </w:tc>
        <w:tc>
          <w:tcPr>
            <w:tcW w:w="1958"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-5.791139</w:t>
            </w:r>
          </w:p>
        </w:tc>
      </w:tr>
      <w:tr w:rsidR="0093285A" w:rsidRPr="001E0C73" w:rsidTr="0093285A">
        <w:tc>
          <w:tcPr>
            <w:tcW w:w="1910" w:type="dxa"/>
            <w:vAlign w:val="bottom"/>
          </w:tcPr>
          <w:p w:rsidR="0093285A" w:rsidRPr="001E0C73" w:rsidRDefault="0093285A" w:rsidP="0093285A">
            <w:pPr>
              <w:widowControl w:val="0"/>
              <w:autoSpaceDE w:val="0"/>
              <w:autoSpaceDN w:val="0"/>
              <w:adjustRightInd w:val="0"/>
              <w:ind w:left="40"/>
              <w:rPr>
                <w:sz w:val="20"/>
                <w:szCs w:val="20"/>
              </w:rPr>
            </w:pPr>
            <w:r w:rsidRPr="001E0C73">
              <w:rPr>
                <w:sz w:val="20"/>
                <w:szCs w:val="20"/>
              </w:rPr>
              <w:t>Sum squared resid</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0.185435</w:t>
            </w:r>
          </w:p>
        </w:tc>
        <w:tc>
          <w:tcPr>
            <w:tcW w:w="2160" w:type="dxa"/>
            <w:vAlign w:val="bottom"/>
          </w:tcPr>
          <w:p w:rsidR="0093285A" w:rsidRPr="001E0C73" w:rsidRDefault="0093285A" w:rsidP="0093285A">
            <w:pPr>
              <w:widowControl w:val="0"/>
              <w:autoSpaceDE w:val="0"/>
              <w:autoSpaceDN w:val="0"/>
              <w:adjustRightInd w:val="0"/>
              <w:rPr>
                <w:sz w:val="20"/>
                <w:szCs w:val="20"/>
              </w:rPr>
            </w:pPr>
            <w:r w:rsidRPr="001E0C73">
              <w:rPr>
                <w:sz w:val="20"/>
                <w:szCs w:val="20"/>
              </w:rPr>
              <w:t>Schwarz criterion</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p>
        </w:tc>
        <w:tc>
          <w:tcPr>
            <w:tcW w:w="1958"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-5.753225</w:t>
            </w:r>
          </w:p>
        </w:tc>
      </w:tr>
      <w:tr w:rsidR="0093285A" w:rsidRPr="001E0C73" w:rsidTr="0093285A">
        <w:tc>
          <w:tcPr>
            <w:tcW w:w="1910" w:type="dxa"/>
            <w:vAlign w:val="bottom"/>
          </w:tcPr>
          <w:p w:rsidR="0093285A" w:rsidRPr="001E0C73" w:rsidRDefault="0093285A" w:rsidP="0093285A">
            <w:pPr>
              <w:widowControl w:val="0"/>
              <w:autoSpaceDE w:val="0"/>
              <w:autoSpaceDN w:val="0"/>
              <w:adjustRightInd w:val="0"/>
              <w:ind w:left="40"/>
              <w:rPr>
                <w:sz w:val="20"/>
                <w:szCs w:val="20"/>
              </w:rPr>
            </w:pPr>
            <w:r w:rsidRPr="001E0C73">
              <w:rPr>
                <w:sz w:val="20"/>
                <w:szCs w:val="20"/>
              </w:rPr>
              <w:t>Log likelihood</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2108.183</w:t>
            </w:r>
          </w:p>
        </w:tc>
        <w:tc>
          <w:tcPr>
            <w:tcW w:w="2160" w:type="dxa"/>
            <w:vAlign w:val="bottom"/>
          </w:tcPr>
          <w:p w:rsidR="0093285A" w:rsidRPr="001E0C73" w:rsidRDefault="0093285A" w:rsidP="0093285A">
            <w:pPr>
              <w:widowControl w:val="0"/>
              <w:autoSpaceDE w:val="0"/>
              <w:autoSpaceDN w:val="0"/>
              <w:adjustRightInd w:val="0"/>
              <w:rPr>
                <w:sz w:val="20"/>
                <w:szCs w:val="20"/>
              </w:rPr>
            </w:pPr>
            <w:r w:rsidRPr="001E0C73">
              <w:rPr>
                <w:sz w:val="20"/>
                <w:szCs w:val="20"/>
              </w:rPr>
              <w:t>F-statistic</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p>
        </w:tc>
        <w:tc>
          <w:tcPr>
            <w:tcW w:w="1958"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0.186908</w:t>
            </w:r>
          </w:p>
        </w:tc>
      </w:tr>
      <w:tr w:rsidR="0093285A" w:rsidRPr="001E0C73" w:rsidTr="0093285A">
        <w:tc>
          <w:tcPr>
            <w:tcW w:w="1910" w:type="dxa"/>
            <w:vAlign w:val="bottom"/>
          </w:tcPr>
          <w:p w:rsidR="0093285A" w:rsidRPr="001E0C73" w:rsidRDefault="0093285A" w:rsidP="0093285A">
            <w:pPr>
              <w:widowControl w:val="0"/>
              <w:autoSpaceDE w:val="0"/>
              <w:autoSpaceDN w:val="0"/>
              <w:adjustRightInd w:val="0"/>
              <w:ind w:left="40"/>
              <w:rPr>
                <w:sz w:val="20"/>
                <w:szCs w:val="20"/>
              </w:rPr>
            </w:pPr>
            <w:r w:rsidRPr="001E0C73">
              <w:rPr>
                <w:sz w:val="20"/>
                <w:szCs w:val="20"/>
              </w:rPr>
              <w:t>Durbin-Watson stat</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1.926579</w:t>
            </w:r>
          </w:p>
        </w:tc>
        <w:tc>
          <w:tcPr>
            <w:tcW w:w="2160" w:type="dxa"/>
            <w:vAlign w:val="bottom"/>
          </w:tcPr>
          <w:p w:rsidR="0093285A" w:rsidRPr="001E0C73" w:rsidRDefault="0093285A" w:rsidP="0093285A">
            <w:pPr>
              <w:widowControl w:val="0"/>
              <w:autoSpaceDE w:val="0"/>
              <w:autoSpaceDN w:val="0"/>
              <w:adjustRightInd w:val="0"/>
              <w:rPr>
                <w:sz w:val="20"/>
                <w:szCs w:val="20"/>
              </w:rPr>
            </w:pPr>
            <w:r w:rsidRPr="001E0C73">
              <w:rPr>
                <w:sz w:val="20"/>
                <w:szCs w:val="20"/>
              </w:rPr>
              <w:t>Prob(F-statistic)</w:t>
            </w:r>
          </w:p>
        </w:tc>
        <w:tc>
          <w:tcPr>
            <w:tcW w:w="2160" w:type="dxa"/>
            <w:vAlign w:val="bottom"/>
          </w:tcPr>
          <w:p w:rsidR="0093285A" w:rsidRPr="001E0C73" w:rsidRDefault="0093285A" w:rsidP="0093285A">
            <w:pPr>
              <w:widowControl w:val="0"/>
              <w:autoSpaceDE w:val="0"/>
              <w:autoSpaceDN w:val="0"/>
              <w:adjustRightInd w:val="0"/>
              <w:jc w:val="center"/>
              <w:rPr>
                <w:sz w:val="20"/>
                <w:szCs w:val="20"/>
              </w:rPr>
            </w:pPr>
          </w:p>
        </w:tc>
        <w:tc>
          <w:tcPr>
            <w:tcW w:w="1958" w:type="dxa"/>
            <w:vAlign w:val="bottom"/>
          </w:tcPr>
          <w:p w:rsidR="0093285A" w:rsidRPr="001E0C73" w:rsidRDefault="0093285A" w:rsidP="0093285A">
            <w:pPr>
              <w:widowControl w:val="0"/>
              <w:autoSpaceDE w:val="0"/>
              <w:autoSpaceDN w:val="0"/>
              <w:adjustRightInd w:val="0"/>
              <w:jc w:val="center"/>
              <w:rPr>
                <w:sz w:val="20"/>
                <w:szCs w:val="20"/>
              </w:rPr>
            </w:pPr>
            <w:r w:rsidRPr="001E0C73">
              <w:rPr>
                <w:sz w:val="20"/>
                <w:szCs w:val="20"/>
              </w:rPr>
              <w:t>0.967570</w:t>
            </w:r>
          </w:p>
        </w:tc>
      </w:tr>
    </w:tbl>
    <w:p w:rsidR="0093285A" w:rsidRPr="006D3DDF" w:rsidRDefault="0093285A" w:rsidP="0093285A">
      <w:pPr>
        <w:jc w:val="both"/>
        <w:rPr>
          <w:sz w:val="12"/>
          <w:szCs w:val="20"/>
        </w:rPr>
      </w:pPr>
    </w:p>
    <w:p w:rsidR="006D3DDF" w:rsidRPr="006D3DDF" w:rsidRDefault="006D3DDF" w:rsidP="0093285A">
      <w:pPr>
        <w:jc w:val="both"/>
        <w:rPr>
          <w:sz w:val="16"/>
          <w:szCs w:val="20"/>
        </w:rPr>
        <w:sectPr w:rsidR="006D3DDF" w:rsidRPr="006D3DDF" w:rsidSect="00837241">
          <w:type w:val="continuous"/>
          <w:pgSz w:w="12240" w:h="15840" w:code="1"/>
          <w:pgMar w:top="1440" w:right="749" w:bottom="1440" w:left="907" w:header="720" w:footer="720" w:gutter="0"/>
          <w:cols w:space="227"/>
          <w:docGrid w:linePitch="360"/>
        </w:sectPr>
      </w:pPr>
    </w:p>
    <w:p w:rsidR="0093285A" w:rsidRPr="0093285A" w:rsidRDefault="0093285A" w:rsidP="0093285A">
      <w:pPr>
        <w:jc w:val="both"/>
        <w:rPr>
          <w:sz w:val="20"/>
          <w:szCs w:val="20"/>
        </w:rPr>
      </w:pPr>
      <w:r w:rsidRPr="0093285A">
        <w:rPr>
          <w:sz w:val="20"/>
          <w:szCs w:val="20"/>
        </w:rPr>
        <w:t>Table 6 provides mix results for the GARCH (1, 1) process. It is clear that the estimates of mean equation are not significant. While on the contrary, the variance estimates are strongly significant. If we use t statistics in GARCH model with certain degrees of freedom, this will allow for excess kurtosis in the conditional distribution. The degree of freedom will determine the kurtosis of the conditional distribution. For the degrees of freedom greater than 4, we will always have a conditional kurtosis of more than 3. Thus, in both unconditional and conditional distributions, the GARCH with t estimates exhibits fat tails as compared to normal distribution. Apart from this, the higher order moments are not time dependent. The Durbin Watson stats identify absence of serial correlation. There could be many reasons for weak mean results. The used data is for a period that obviously contained noise with extreme maximum and minimum returns. There were periods when very low trade took place since either the stocks opened on the lower limits or the upper limits. However, the model captured the volatility and significant variance coefficients support the time varying volatility hypothesis i.e. conditional volatility changes over time due to clustering volatility.</w:t>
      </w:r>
    </w:p>
    <w:p w:rsidR="0093285A" w:rsidRPr="006D3DDF" w:rsidRDefault="0093285A" w:rsidP="0093285A">
      <w:pPr>
        <w:jc w:val="both"/>
        <w:rPr>
          <w:sz w:val="12"/>
          <w:szCs w:val="20"/>
        </w:rPr>
      </w:pPr>
    </w:p>
    <w:p w:rsidR="0093285A" w:rsidRDefault="0093285A" w:rsidP="0093285A">
      <w:pPr>
        <w:jc w:val="both"/>
        <w:rPr>
          <w:sz w:val="20"/>
          <w:szCs w:val="20"/>
        </w:rPr>
      </w:pPr>
      <w:r w:rsidRPr="0093285A">
        <w:rPr>
          <w:sz w:val="20"/>
          <w:szCs w:val="20"/>
        </w:rPr>
        <w:t xml:space="preserve">Although the absence of serial correlation should be sufficient to demonstrate the fit, we further consider ARCH – LM test on residuals of GARCH (1, 1) model. The reported statistics from </w:t>
      </w:r>
      <w:r>
        <w:rPr>
          <w:sz w:val="20"/>
          <w:szCs w:val="20"/>
        </w:rPr>
        <w:t>t</w:t>
      </w:r>
      <w:r w:rsidRPr="0093285A">
        <w:rPr>
          <w:sz w:val="20"/>
          <w:szCs w:val="20"/>
        </w:rPr>
        <w:t>able 7 indicate that GARCH (1, 1) model has captured the persistence in volatility and no ARCH effect is left in the residuals.</w:t>
      </w:r>
    </w:p>
    <w:p w:rsidR="0093285A" w:rsidRDefault="0093285A" w:rsidP="0093285A">
      <w:pPr>
        <w:jc w:val="center"/>
        <w:rPr>
          <w:b/>
          <w:sz w:val="20"/>
          <w:szCs w:val="20"/>
        </w:rPr>
      </w:pPr>
      <w:r w:rsidRPr="00542064">
        <w:rPr>
          <w:b/>
          <w:sz w:val="20"/>
          <w:szCs w:val="20"/>
        </w:rPr>
        <w:t>Table</w:t>
      </w:r>
      <w:r>
        <w:rPr>
          <w:b/>
          <w:sz w:val="20"/>
          <w:szCs w:val="20"/>
        </w:rPr>
        <w:t>-</w:t>
      </w:r>
      <w:r w:rsidRPr="00542064">
        <w:rPr>
          <w:b/>
          <w:sz w:val="20"/>
          <w:szCs w:val="20"/>
        </w:rPr>
        <w:t>7</w:t>
      </w:r>
    </w:p>
    <w:p w:rsidR="0093285A" w:rsidRPr="0093285A" w:rsidRDefault="0093285A" w:rsidP="0093285A">
      <w:pPr>
        <w:jc w:val="center"/>
        <w:rPr>
          <w:sz w:val="20"/>
          <w:szCs w:val="20"/>
        </w:rPr>
      </w:pPr>
      <w:r w:rsidRPr="00542064">
        <w:rPr>
          <w:b/>
          <w:sz w:val="20"/>
          <w:szCs w:val="20"/>
        </w:rPr>
        <w:t>ARCH LM Test on GARCH (1,1)</w:t>
      </w:r>
    </w:p>
    <w:tbl>
      <w:tblPr>
        <w:tblStyle w:val="TableGrid"/>
        <w:tblW w:w="0" w:type="auto"/>
        <w:tblInd w:w="108" w:type="dxa"/>
        <w:tblLook w:val="04A0"/>
      </w:tblPr>
      <w:tblGrid>
        <w:gridCol w:w="1701"/>
        <w:gridCol w:w="1006"/>
        <w:gridCol w:w="1265"/>
        <w:gridCol w:w="1131"/>
      </w:tblGrid>
      <w:tr w:rsidR="0093285A" w:rsidRPr="001E0C73" w:rsidTr="006D3DDF">
        <w:tc>
          <w:tcPr>
            <w:tcW w:w="1701" w:type="dxa"/>
          </w:tcPr>
          <w:p w:rsidR="0093285A" w:rsidRPr="001E0C73" w:rsidRDefault="0093285A" w:rsidP="0093285A">
            <w:pPr>
              <w:jc w:val="both"/>
              <w:rPr>
                <w:b/>
                <w:sz w:val="20"/>
                <w:szCs w:val="20"/>
              </w:rPr>
            </w:pPr>
            <w:r w:rsidRPr="001E0C73">
              <w:rPr>
                <w:sz w:val="20"/>
                <w:szCs w:val="20"/>
              </w:rPr>
              <w:t>ARCH Test:</w:t>
            </w:r>
          </w:p>
        </w:tc>
        <w:tc>
          <w:tcPr>
            <w:tcW w:w="1006" w:type="dxa"/>
          </w:tcPr>
          <w:p w:rsidR="0093285A" w:rsidRPr="001E0C73" w:rsidRDefault="0093285A" w:rsidP="0093285A">
            <w:pPr>
              <w:jc w:val="center"/>
              <w:rPr>
                <w:b/>
                <w:sz w:val="20"/>
                <w:szCs w:val="20"/>
              </w:rPr>
            </w:pPr>
          </w:p>
        </w:tc>
        <w:tc>
          <w:tcPr>
            <w:tcW w:w="1265" w:type="dxa"/>
          </w:tcPr>
          <w:p w:rsidR="0093285A" w:rsidRPr="001E0C73" w:rsidRDefault="0093285A" w:rsidP="0093285A">
            <w:pPr>
              <w:jc w:val="center"/>
              <w:rPr>
                <w:b/>
                <w:sz w:val="20"/>
                <w:szCs w:val="20"/>
              </w:rPr>
            </w:pPr>
          </w:p>
        </w:tc>
        <w:tc>
          <w:tcPr>
            <w:tcW w:w="1131" w:type="dxa"/>
          </w:tcPr>
          <w:p w:rsidR="0093285A" w:rsidRPr="001E0C73" w:rsidRDefault="0093285A" w:rsidP="0093285A">
            <w:pPr>
              <w:jc w:val="center"/>
              <w:rPr>
                <w:b/>
                <w:sz w:val="20"/>
                <w:szCs w:val="20"/>
              </w:rPr>
            </w:pPr>
          </w:p>
        </w:tc>
      </w:tr>
      <w:tr w:rsidR="0093285A" w:rsidRPr="001E0C73" w:rsidTr="006D3DDF">
        <w:tc>
          <w:tcPr>
            <w:tcW w:w="1701" w:type="dxa"/>
            <w:vAlign w:val="bottom"/>
          </w:tcPr>
          <w:p w:rsidR="0093285A" w:rsidRPr="001E0C73" w:rsidRDefault="0093285A" w:rsidP="0093285A">
            <w:pPr>
              <w:widowControl w:val="0"/>
              <w:autoSpaceDE w:val="0"/>
              <w:autoSpaceDN w:val="0"/>
              <w:adjustRightInd w:val="0"/>
              <w:ind w:left="40"/>
              <w:rPr>
                <w:sz w:val="20"/>
                <w:szCs w:val="20"/>
              </w:rPr>
            </w:pPr>
            <w:r w:rsidRPr="001E0C73">
              <w:rPr>
                <w:sz w:val="20"/>
                <w:szCs w:val="20"/>
              </w:rPr>
              <w:t>F-statistic</w:t>
            </w:r>
          </w:p>
        </w:tc>
        <w:tc>
          <w:tcPr>
            <w:tcW w:w="1006" w:type="dxa"/>
            <w:vAlign w:val="bottom"/>
          </w:tcPr>
          <w:p w:rsidR="0093285A" w:rsidRPr="001E0C73" w:rsidRDefault="0093285A" w:rsidP="0093285A">
            <w:pPr>
              <w:widowControl w:val="0"/>
              <w:autoSpaceDE w:val="0"/>
              <w:autoSpaceDN w:val="0"/>
              <w:adjustRightInd w:val="0"/>
              <w:ind w:right="40"/>
              <w:jc w:val="right"/>
              <w:rPr>
                <w:sz w:val="20"/>
                <w:szCs w:val="20"/>
              </w:rPr>
            </w:pPr>
            <w:r w:rsidRPr="001E0C73">
              <w:rPr>
                <w:sz w:val="20"/>
                <w:szCs w:val="20"/>
              </w:rPr>
              <w:t>1.403153</w:t>
            </w:r>
          </w:p>
        </w:tc>
        <w:tc>
          <w:tcPr>
            <w:tcW w:w="1265" w:type="dxa"/>
            <w:vAlign w:val="bottom"/>
          </w:tcPr>
          <w:p w:rsidR="0093285A" w:rsidRPr="001E0C73" w:rsidRDefault="0093285A" w:rsidP="0093285A">
            <w:pPr>
              <w:widowControl w:val="0"/>
              <w:autoSpaceDE w:val="0"/>
              <w:autoSpaceDN w:val="0"/>
              <w:adjustRightInd w:val="0"/>
              <w:ind w:left="160"/>
              <w:rPr>
                <w:sz w:val="20"/>
                <w:szCs w:val="20"/>
              </w:rPr>
            </w:pPr>
            <w:r w:rsidRPr="001E0C73">
              <w:rPr>
                <w:sz w:val="20"/>
                <w:szCs w:val="20"/>
              </w:rPr>
              <w:t>Probability</w:t>
            </w:r>
          </w:p>
        </w:tc>
        <w:tc>
          <w:tcPr>
            <w:tcW w:w="1131" w:type="dxa"/>
            <w:vAlign w:val="bottom"/>
          </w:tcPr>
          <w:p w:rsidR="0093285A" w:rsidRPr="001E0C73" w:rsidRDefault="0093285A" w:rsidP="0093285A">
            <w:pPr>
              <w:widowControl w:val="0"/>
              <w:autoSpaceDE w:val="0"/>
              <w:autoSpaceDN w:val="0"/>
              <w:adjustRightInd w:val="0"/>
              <w:ind w:right="40"/>
              <w:jc w:val="right"/>
              <w:rPr>
                <w:sz w:val="20"/>
                <w:szCs w:val="20"/>
              </w:rPr>
            </w:pPr>
            <w:r w:rsidRPr="001E0C73">
              <w:rPr>
                <w:sz w:val="20"/>
                <w:szCs w:val="20"/>
              </w:rPr>
              <w:t>0.220924</w:t>
            </w:r>
          </w:p>
        </w:tc>
      </w:tr>
      <w:tr w:rsidR="0093285A" w:rsidRPr="001E0C73" w:rsidTr="006D3DDF">
        <w:tc>
          <w:tcPr>
            <w:tcW w:w="1701" w:type="dxa"/>
            <w:vAlign w:val="bottom"/>
          </w:tcPr>
          <w:p w:rsidR="0093285A" w:rsidRPr="001E0C73" w:rsidRDefault="0093285A" w:rsidP="0093285A">
            <w:pPr>
              <w:widowControl w:val="0"/>
              <w:autoSpaceDE w:val="0"/>
              <w:autoSpaceDN w:val="0"/>
              <w:adjustRightInd w:val="0"/>
              <w:ind w:left="40"/>
              <w:rPr>
                <w:sz w:val="20"/>
                <w:szCs w:val="20"/>
              </w:rPr>
            </w:pPr>
            <w:r w:rsidRPr="001E0C73">
              <w:rPr>
                <w:sz w:val="20"/>
                <w:szCs w:val="20"/>
              </w:rPr>
              <w:t>Obs*R-squared</w:t>
            </w:r>
          </w:p>
        </w:tc>
        <w:tc>
          <w:tcPr>
            <w:tcW w:w="1006" w:type="dxa"/>
            <w:vAlign w:val="bottom"/>
          </w:tcPr>
          <w:p w:rsidR="0093285A" w:rsidRPr="001E0C73" w:rsidRDefault="0093285A" w:rsidP="0093285A">
            <w:pPr>
              <w:widowControl w:val="0"/>
              <w:autoSpaceDE w:val="0"/>
              <w:autoSpaceDN w:val="0"/>
              <w:adjustRightInd w:val="0"/>
              <w:ind w:right="40"/>
              <w:jc w:val="right"/>
              <w:rPr>
                <w:sz w:val="20"/>
                <w:szCs w:val="20"/>
              </w:rPr>
            </w:pPr>
            <w:r w:rsidRPr="001E0C73">
              <w:rPr>
                <w:sz w:val="20"/>
                <w:szCs w:val="20"/>
              </w:rPr>
              <w:t>7.005896</w:t>
            </w:r>
          </w:p>
        </w:tc>
        <w:tc>
          <w:tcPr>
            <w:tcW w:w="1265" w:type="dxa"/>
            <w:vAlign w:val="bottom"/>
          </w:tcPr>
          <w:p w:rsidR="0093285A" w:rsidRPr="001E0C73" w:rsidRDefault="0093285A" w:rsidP="0093285A">
            <w:pPr>
              <w:widowControl w:val="0"/>
              <w:autoSpaceDE w:val="0"/>
              <w:autoSpaceDN w:val="0"/>
              <w:adjustRightInd w:val="0"/>
              <w:ind w:left="160"/>
              <w:rPr>
                <w:sz w:val="20"/>
                <w:szCs w:val="20"/>
              </w:rPr>
            </w:pPr>
            <w:r w:rsidRPr="001E0C73">
              <w:rPr>
                <w:sz w:val="20"/>
                <w:szCs w:val="20"/>
              </w:rPr>
              <w:t>Probability</w:t>
            </w:r>
          </w:p>
        </w:tc>
        <w:tc>
          <w:tcPr>
            <w:tcW w:w="1131" w:type="dxa"/>
            <w:vAlign w:val="bottom"/>
          </w:tcPr>
          <w:p w:rsidR="0093285A" w:rsidRPr="001E0C73" w:rsidRDefault="0093285A" w:rsidP="0093285A">
            <w:pPr>
              <w:widowControl w:val="0"/>
              <w:autoSpaceDE w:val="0"/>
              <w:autoSpaceDN w:val="0"/>
              <w:adjustRightInd w:val="0"/>
              <w:ind w:right="40"/>
              <w:jc w:val="right"/>
              <w:rPr>
                <w:sz w:val="20"/>
                <w:szCs w:val="20"/>
              </w:rPr>
            </w:pPr>
            <w:r w:rsidRPr="001E0C73">
              <w:rPr>
                <w:sz w:val="20"/>
                <w:szCs w:val="20"/>
              </w:rPr>
              <w:t>0.220202</w:t>
            </w:r>
          </w:p>
        </w:tc>
      </w:tr>
    </w:tbl>
    <w:p w:rsidR="0093285A" w:rsidRPr="0093285A" w:rsidRDefault="0093285A" w:rsidP="0093285A">
      <w:pPr>
        <w:jc w:val="both"/>
        <w:rPr>
          <w:sz w:val="20"/>
          <w:szCs w:val="20"/>
        </w:rPr>
      </w:pPr>
    </w:p>
    <w:p w:rsidR="0093285A" w:rsidRPr="0093285A" w:rsidRDefault="0093285A" w:rsidP="0093285A">
      <w:pPr>
        <w:jc w:val="both"/>
        <w:rPr>
          <w:sz w:val="20"/>
          <w:szCs w:val="20"/>
        </w:rPr>
      </w:pPr>
      <w:r w:rsidRPr="0093285A">
        <w:rPr>
          <w:sz w:val="20"/>
          <w:szCs w:val="20"/>
        </w:rPr>
        <w:t>An important aspect must be noted here. Information plays a vital role in financial markets and hypothesis on ARCH effects assume that these effects are due to the variations in rate of</w:t>
      </w:r>
      <w:r w:rsidR="001E0C73">
        <w:rPr>
          <w:sz w:val="20"/>
          <w:szCs w:val="20"/>
        </w:rPr>
        <w:t xml:space="preserve"> information flow. Nelson </w:t>
      </w:r>
      <w:r w:rsidRPr="0093285A">
        <w:rPr>
          <w:sz w:val="20"/>
          <w:szCs w:val="20"/>
        </w:rPr>
        <w:t>suggests that ARCH effects and their persistence will vary according to the sample frequencies and a high frequency data (an hourly return vis-à-vis) is likely to be a better fit than a daily or weekly return data. Moreover leverage effect is expected to be captured in a better way in an hourly data as compared to weekly or even daily data. We checked the leverage effects using EGARCH. The resulting statistics show significant (at 1%) volatility persistence (0.901) and a significant positive leverage effect (0.046). The positive leverage effect implies that positive returns are associated with higher volatility than negative returns of same magnitude. The asymmetric function was also significant and it reveals that past residuals have an impact on current volatility. Since flow of information varies during the trading day, an hourly data will model the volatility more significantly as compared to low frequency data. Unfortunately for Pakistani market, high frequency data was not available, otherwise; more significant ARCH effects and volatility clustering could have been examined. We expect more significant results for our model in case of high frequency data.</w:t>
      </w:r>
    </w:p>
    <w:p w:rsidR="0093285A" w:rsidRPr="0093285A" w:rsidRDefault="0093285A" w:rsidP="0093285A">
      <w:pPr>
        <w:jc w:val="both"/>
        <w:rPr>
          <w:b/>
          <w:sz w:val="20"/>
          <w:szCs w:val="20"/>
        </w:rPr>
      </w:pPr>
    </w:p>
    <w:p w:rsidR="0093285A" w:rsidRPr="0093285A" w:rsidRDefault="0093285A" w:rsidP="0093285A">
      <w:pPr>
        <w:spacing w:line="360" w:lineRule="auto"/>
        <w:jc w:val="both"/>
        <w:rPr>
          <w:b/>
          <w:szCs w:val="20"/>
        </w:rPr>
      </w:pPr>
      <w:r w:rsidRPr="0093285A">
        <w:rPr>
          <w:b/>
          <w:szCs w:val="20"/>
        </w:rPr>
        <w:t>Conclusion</w:t>
      </w:r>
    </w:p>
    <w:p w:rsidR="0093285A" w:rsidRPr="0093285A" w:rsidRDefault="0093285A" w:rsidP="0093285A">
      <w:pPr>
        <w:jc w:val="both"/>
        <w:rPr>
          <w:sz w:val="20"/>
          <w:szCs w:val="20"/>
        </w:rPr>
      </w:pPr>
      <w:r w:rsidRPr="0093285A">
        <w:rPr>
          <w:sz w:val="20"/>
          <w:szCs w:val="20"/>
        </w:rPr>
        <w:t>Emerging markets are faced with estimation problems vis-à-vis asset pricing models. Since volatility plays an important role in asset valuation and investment decisions, it is important to model with precision. Moreover, the recent studies have shown that volatility varies over time and constant variance assumption is flawed. Since investors are concerned about conditional variance, long term variance is, at times, meaningless. Pakistan is a classic case of emerging market which is subject to high volatility. The high volatility becomes more complex when the market is manipulated by the informed players and market makers. We have considered a sample period which is assumed to be the most volatile in the history of Pakistan’s stock market. The empirical evidence indicates presence of time varying volatility. Therefore, valuations in such markets should be dealt carefully by taking into account conditional variance. These findings have strong implications for fund managers and investment analysts who rely on a Gaussian style standard deviation as measure of risk for their exposures.</w:t>
      </w:r>
    </w:p>
    <w:p w:rsidR="0093285A" w:rsidRPr="006D3DDF" w:rsidRDefault="0093285A" w:rsidP="006D3DDF">
      <w:pPr>
        <w:widowControl w:val="0"/>
        <w:autoSpaceDE w:val="0"/>
        <w:autoSpaceDN w:val="0"/>
        <w:adjustRightInd w:val="0"/>
        <w:spacing w:line="360" w:lineRule="auto"/>
        <w:jc w:val="both"/>
        <w:rPr>
          <w:b/>
          <w:szCs w:val="20"/>
        </w:rPr>
      </w:pPr>
      <w:r w:rsidRPr="006D3DDF">
        <w:rPr>
          <w:b/>
          <w:szCs w:val="20"/>
        </w:rPr>
        <w:t>Acknowledgments</w:t>
      </w:r>
    </w:p>
    <w:p w:rsidR="0093285A" w:rsidRPr="0093285A" w:rsidRDefault="0093285A" w:rsidP="0093285A">
      <w:pPr>
        <w:widowControl w:val="0"/>
        <w:autoSpaceDE w:val="0"/>
        <w:autoSpaceDN w:val="0"/>
        <w:adjustRightInd w:val="0"/>
        <w:jc w:val="both"/>
        <w:rPr>
          <w:sz w:val="20"/>
          <w:szCs w:val="20"/>
        </w:rPr>
      </w:pPr>
      <w:r w:rsidRPr="0093285A">
        <w:rPr>
          <w:sz w:val="20"/>
          <w:szCs w:val="20"/>
        </w:rPr>
        <w:t xml:space="preserve">The Authors like to thank Dr David Veredas of Solvay Brussels School of Economics and Management at Université Libre de Bruxelles, Belgium, for valuable comments and suggestions. </w:t>
      </w:r>
    </w:p>
    <w:p w:rsidR="00B06054" w:rsidRDefault="00B06054" w:rsidP="006D3DDF">
      <w:pPr>
        <w:pStyle w:val="NormalWeb"/>
        <w:spacing w:before="0" w:after="0"/>
        <w:jc w:val="both"/>
        <w:rPr>
          <w:bCs/>
          <w:sz w:val="20"/>
          <w:szCs w:val="20"/>
        </w:rPr>
      </w:pPr>
    </w:p>
    <w:p w:rsidR="0093285A" w:rsidRPr="00542064" w:rsidRDefault="0093285A" w:rsidP="0093285A">
      <w:pPr>
        <w:spacing w:line="360" w:lineRule="auto"/>
        <w:rPr>
          <w:b/>
          <w:sz w:val="20"/>
          <w:szCs w:val="20"/>
        </w:rPr>
      </w:pPr>
      <w:r w:rsidRPr="0093285A">
        <w:rPr>
          <w:b/>
          <w:szCs w:val="20"/>
        </w:rPr>
        <w:t>References</w:t>
      </w:r>
    </w:p>
    <w:p w:rsidR="0093285A" w:rsidRPr="00542064" w:rsidRDefault="0093285A" w:rsidP="0093285A">
      <w:pPr>
        <w:numPr>
          <w:ilvl w:val="0"/>
          <w:numId w:val="42"/>
        </w:numPr>
        <w:spacing w:after="100"/>
        <w:jc w:val="both"/>
        <w:rPr>
          <w:sz w:val="20"/>
          <w:szCs w:val="20"/>
        </w:rPr>
      </w:pPr>
      <w:r w:rsidRPr="00542064">
        <w:rPr>
          <w:sz w:val="20"/>
          <w:szCs w:val="20"/>
          <w:lang w:val="fr-FR"/>
        </w:rPr>
        <w:t>Bachelier L.</w:t>
      </w:r>
      <w:r>
        <w:rPr>
          <w:sz w:val="20"/>
          <w:szCs w:val="20"/>
          <w:lang w:val="fr-FR"/>
        </w:rPr>
        <w:t>,</w:t>
      </w:r>
      <w:r w:rsidRPr="00542064">
        <w:rPr>
          <w:sz w:val="20"/>
          <w:szCs w:val="20"/>
          <w:lang w:val="fr-FR"/>
        </w:rPr>
        <w:t xml:space="preserve"> Theorie de la Speculation, </w:t>
      </w:r>
      <w:r w:rsidRPr="00542064">
        <w:rPr>
          <w:i/>
          <w:sz w:val="20"/>
          <w:szCs w:val="20"/>
          <w:lang w:val="fr-FR"/>
        </w:rPr>
        <w:t>Annales de l’Ecole Normale Superieure de Paris</w:t>
      </w:r>
      <w:r>
        <w:rPr>
          <w:i/>
          <w:sz w:val="20"/>
          <w:szCs w:val="20"/>
          <w:lang w:val="fr-FR"/>
        </w:rPr>
        <w:t>,</w:t>
      </w:r>
      <w:r w:rsidRPr="00542064">
        <w:rPr>
          <w:sz w:val="20"/>
          <w:szCs w:val="20"/>
          <w:lang w:val="fr-FR"/>
        </w:rPr>
        <w:t xml:space="preserve"> </w:t>
      </w:r>
      <w:r w:rsidRPr="00542064">
        <w:rPr>
          <w:b/>
          <w:sz w:val="20"/>
          <w:szCs w:val="20"/>
        </w:rPr>
        <w:t>(1900)</w:t>
      </w:r>
    </w:p>
    <w:p w:rsidR="0093285A" w:rsidRPr="00542064" w:rsidRDefault="0093285A" w:rsidP="0093285A">
      <w:pPr>
        <w:numPr>
          <w:ilvl w:val="0"/>
          <w:numId w:val="42"/>
        </w:numPr>
        <w:spacing w:after="100"/>
        <w:jc w:val="both"/>
        <w:rPr>
          <w:sz w:val="20"/>
          <w:szCs w:val="20"/>
        </w:rPr>
      </w:pPr>
      <w:r w:rsidRPr="00542064">
        <w:rPr>
          <w:sz w:val="20"/>
          <w:szCs w:val="20"/>
        </w:rPr>
        <w:t>Markowitz H.</w:t>
      </w:r>
      <w:r>
        <w:rPr>
          <w:sz w:val="20"/>
          <w:szCs w:val="20"/>
        </w:rPr>
        <w:t>,</w:t>
      </w:r>
      <w:r w:rsidRPr="00542064">
        <w:rPr>
          <w:sz w:val="20"/>
          <w:szCs w:val="20"/>
        </w:rPr>
        <w:t xml:space="preserve"> Portfolio Selection, </w:t>
      </w:r>
      <w:r w:rsidRPr="00542064">
        <w:rPr>
          <w:i/>
          <w:sz w:val="20"/>
          <w:szCs w:val="20"/>
        </w:rPr>
        <w:t>Journal of Finance</w:t>
      </w:r>
      <w:r w:rsidRPr="00542064">
        <w:rPr>
          <w:sz w:val="20"/>
          <w:szCs w:val="20"/>
        </w:rPr>
        <w:t xml:space="preserve">, </w:t>
      </w:r>
      <w:r w:rsidRPr="00542064">
        <w:rPr>
          <w:b/>
          <w:sz w:val="20"/>
          <w:szCs w:val="20"/>
        </w:rPr>
        <w:t>7(1)</w:t>
      </w:r>
      <w:r w:rsidRPr="00542064">
        <w:rPr>
          <w:sz w:val="20"/>
          <w:szCs w:val="20"/>
        </w:rPr>
        <w:t xml:space="preserve">, 77-91 </w:t>
      </w:r>
      <w:r w:rsidRPr="00542064">
        <w:rPr>
          <w:b/>
          <w:sz w:val="20"/>
          <w:szCs w:val="20"/>
        </w:rPr>
        <w:t>(1952)</w:t>
      </w:r>
    </w:p>
    <w:p w:rsidR="0093285A" w:rsidRPr="00542064" w:rsidRDefault="0093285A" w:rsidP="0093285A">
      <w:pPr>
        <w:numPr>
          <w:ilvl w:val="0"/>
          <w:numId w:val="42"/>
        </w:numPr>
        <w:spacing w:after="100"/>
        <w:jc w:val="both"/>
        <w:rPr>
          <w:sz w:val="20"/>
          <w:szCs w:val="20"/>
        </w:rPr>
      </w:pPr>
      <w:r w:rsidRPr="00542064">
        <w:rPr>
          <w:sz w:val="20"/>
          <w:szCs w:val="20"/>
        </w:rPr>
        <w:t>Tobin J.</w:t>
      </w:r>
      <w:r>
        <w:rPr>
          <w:sz w:val="20"/>
          <w:szCs w:val="20"/>
        </w:rPr>
        <w:t>,</w:t>
      </w:r>
      <w:r w:rsidRPr="00542064">
        <w:rPr>
          <w:sz w:val="20"/>
          <w:szCs w:val="20"/>
        </w:rPr>
        <w:t xml:space="preserve"> Liquidity Preference as Behaviour Towards Risk, </w:t>
      </w:r>
      <w:r w:rsidRPr="00542064">
        <w:rPr>
          <w:i/>
          <w:sz w:val="20"/>
          <w:szCs w:val="20"/>
        </w:rPr>
        <w:t>Review of Economic Studies</w:t>
      </w:r>
      <w:r w:rsidRPr="00542064">
        <w:rPr>
          <w:sz w:val="20"/>
          <w:szCs w:val="20"/>
        </w:rPr>
        <w:t xml:space="preserve">, </w:t>
      </w:r>
      <w:r w:rsidRPr="00542064">
        <w:rPr>
          <w:b/>
          <w:sz w:val="20"/>
          <w:szCs w:val="20"/>
        </w:rPr>
        <w:t>67</w:t>
      </w:r>
      <w:r w:rsidRPr="00542064">
        <w:rPr>
          <w:sz w:val="20"/>
          <w:szCs w:val="20"/>
        </w:rPr>
        <w:t xml:space="preserve">, 22-41 </w:t>
      </w:r>
      <w:r w:rsidRPr="00542064">
        <w:rPr>
          <w:b/>
          <w:sz w:val="20"/>
          <w:szCs w:val="20"/>
        </w:rPr>
        <w:t>(1958)</w:t>
      </w:r>
    </w:p>
    <w:p w:rsidR="0093285A" w:rsidRPr="00542064" w:rsidRDefault="0093285A" w:rsidP="0093285A">
      <w:pPr>
        <w:numPr>
          <w:ilvl w:val="0"/>
          <w:numId w:val="42"/>
        </w:numPr>
        <w:spacing w:after="100"/>
        <w:jc w:val="both"/>
        <w:rPr>
          <w:sz w:val="20"/>
          <w:szCs w:val="20"/>
        </w:rPr>
      </w:pPr>
      <w:r w:rsidRPr="00542064">
        <w:rPr>
          <w:sz w:val="20"/>
          <w:szCs w:val="20"/>
        </w:rPr>
        <w:t>Mandelbrot B.</w:t>
      </w:r>
      <w:r>
        <w:rPr>
          <w:sz w:val="20"/>
          <w:szCs w:val="20"/>
        </w:rPr>
        <w:t>,</w:t>
      </w:r>
      <w:r w:rsidRPr="00542064">
        <w:rPr>
          <w:sz w:val="20"/>
          <w:szCs w:val="20"/>
        </w:rPr>
        <w:t xml:space="preserve"> The Variation of Certain Speculative Prices, </w:t>
      </w:r>
      <w:r w:rsidRPr="00542064">
        <w:rPr>
          <w:i/>
          <w:sz w:val="20"/>
          <w:szCs w:val="20"/>
        </w:rPr>
        <w:t>Journal of Business</w:t>
      </w:r>
      <w:r w:rsidRPr="00542064">
        <w:rPr>
          <w:sz w:val="20"/>
          <w:szCs w:val="20"/>
        </w:rPr>
        <w:t xml:space="preserve">, </w:t>
      </w:r>
      <w:r w:rsidRPr="00542064">
        <w:rPr>
          <w:b/>
          <w:sz w:val="20"/>
          <w:szCs w:val="20"/>
        </w:rPr>
        <w:t>36</w:t>
      </w:r>
      <w:r w:rsidRPr="00542064">
        <w:rPr>
          <w:sz w:val="20"/>
          <w:szCs w:val="20"/>
        </w:rPr>
        <w:t xml:space="preserve">, 394-419 </w:t>
      </w:r>
      <w:r w:rsidRPr="00542064">
        <w:rPr>
          <w:b/>
          <w:sz w:val="20"/>
          <w:szCs w:val="20"/>
        </w:rPr>
        <w:t>(1963)</w:t>
      </w:r>
    </w:p>
    <w:p w:rsidR="0093285A" w:rsidRPr="00542064" w:rsidRDefault="0093285A" w:rsidP="0093285A">
      <w:pPr>
        <w:numPr>
          <w:ilvl w:val="0"/>
          <w:numId w:val="42"/>
        </w:numPr>
        <w:spacing w:after="100"/>
        <w:jc w:val="both"/>
        <w:rPr>
          <w:sz w:val="20"/>
          <w:szCs w:val="20"/>
        </w:rPr>
      </w:pPr>
      <w:r w:rsidRPr="00542064">
        <w:rPr>
          <w:sz w:val="20"/>
          <w:szCs w:val="20"/>
        </w:rPr>
        <w:t>Fama Eugene F.</w:t>
      </w:r>
      <w:r>
        <w:rPr>
          <w:sz w:val="20"/>
          <w:szCs w:val="20"/>
        </w:rPr>
        <w:t>,</w:t>
      </w:r>
      <w:r w:rsidRPr="00542064">
        <w:rPr>
          <w:sz w:val="20"/>
          <w:szCs w:val="20"/>
        </w:rPr>
        <w:t xml:space="preserve"> The Behavior of Stock Market Prices, </w:t>
      </w:r>
      <w:r w:rsidRPr="00542064">
        <w:rPr>
          <w:i/>
          <w:sz w:val="20"/>
          <w:szCs w:val="20"/>
        </w:rPr>
        <w:t>Journal of Business</w:t>
      </w:r>
      <w:r w:rsidRPr="00542064">
        <w:rPr>
          <w:sz w:val="20"/>
          <w:szCs w:val="20"/>
        </w:rPr>
        <w:t xml:space="preserve">, </w:t>
      </w:r>
      <w:r w:rsidRPr="00542064">
        <w:rPr>
          <w:b/>
          <w:sz w:val="20"/>
          <w:szCs w:val="20"/>
        </w:rPr>
        <w:t>38</w:t>
      </w:r>
      <w:r w:rsidRPr="00542064">
        <w:rPr>
          <w:sz w:val="20"/>
          <w:szCs w:val="20"/>
        </w:rPr>
        <w:t xml:space="preserve">, 34-105 </w:t>
      </w:r>
      <w:r w:rsidRPr="00542064">
        <w:rPr>
          <w:b/>
          <w:sz w:val="20"/>
          <w:szCs w:val="20"/>
        </w:rPr>
        <w:t>(1965)</w:t>
      </w:r>
    </w:p>
    <w:p w:rsidR="0093285A" w:rsidRPr="00542064" w:rsidRDefault="0093285A" w:rsidP="0093285A">
      <w:pPr>
        <w:numPr>
          <w:ilvl w:val="0"/>
          <w:numId w:val="42"/>
        </w:numPr>
        <w:spacing w:after="100"/>
        <w:jc w:val="both"/>
        <w:rPr>
          <w:sz w:val="20"/>
          <w:szCs w:val="20"/>
        </w:rPr>
      </w:pPr>
      <w:r w:rsidRPr="00542064">
        <w:rPr>
          <w:sz w:val="20"/>
          <w:szCs w:val="20"/>
        </w:rPr>
        <w:t>Sharpe W.</w:t>
      </w:r>
      <w:r>
        <w:rPr>
          <w:sz w:val="20"/>
          <w:szCs w:val="20"/>
        </w:rPr>
        <w:t>,</w:t>
      </w:r>
      <w:r w:rsidRPr="00542064">
        <w:rPr>
          <w:sz w:val="20"/>
          <w:szCs w:val="20"/>
        </w:rPr>
        <w:t xml:space="preserve"> Capital Asset Prices: A Theory of Market Equilibrium under Conditions of Risk, </w:t>
      </w:r>
      <w:r w:rsidRPr="00542064">
        <w:rPr>
          <w:i/>
          <w:sz w:val="20"/>
          <w:szCs w:val="20"/>
        </w:rPr>
        <w:t>Journal of Finance</w:t>
      </w:r>
      <w:r w:rsidRPr="00542064">
        <w:rPr>
          <w:sz w:val="20"/>
          <w:szCs w:val="20"/>
        </w:rPr>
        <w:t xml:space="preserve">, </w:t>
      </w:r>
      <w:r w:rsidRPr="00542064">
        <w:rPr>
          <w:b/>
          <w:sz w:val="20"/>
          <w:szCs w:val="20"/>
        </w:rPr>
        <w:t>19(3)</w:t>
      </w:r>
      <w:r w:rsidRPr="00542064">
        <w:rPr>
          <w:sz w:val="20"/>
          <w:szCs w:val="20"/>
        </w:rPr>
        <w:t xml:space="preserve">, 425-442 </w:t>
      </w:r>
      <w:r w:rsidRPr="00542064">
        <w:rPr>
          <w:b/>
          <w:sz w:val="20"/>
          <w:szCs w:val="20"/>
        </w:rPr>
        <w:t>(1964)</w:t>
      </w:r>
    </w:p>
    <w:p w:rsidR="0093285A" w:rsidRPr="00542064" w:rsidRDefault="0093285A" w:rsidP="0093285A">
      <w:pPr>
        <w:numPr>
          <w:ilvl w:val="0"/>
          <w:numId w:val="42"/>
        </w:numPr>
        <w:spacing w:after="100"/>
        <w:jc w:val="both"/>
        <w:rPr>
          <w:sz w:val="20"/>
          <w:szCs w:val="20"/>
        </w:rPr>
      </w:pPr>
      <w:r w:rsidRPr="00542064">
        <w:rPr>
          <w:sz w:val="20"/>
          <w:szCs w:val="20"/>
        </w:rPr>
        <w:t>Lintner J.</w:t>
      </w:r>
      <w:r>
        <w:rPr>
          <w:sz w:val="20"/>
          <w:szCs w:val="20"/>
        </w:rPr>
        <w:t>,</w:t>
      </w:r>
      <w:r w:rsidRPr="00542064">
        <w:rPr>
          <w:sz w:val="20"/>
          <w:szCs w:val="20"/>
        </w:rPr>
        <w:t xml:space="preserve"> The Valuation of Risk Assets and the Selection of Risky Investments in Stock Portfolios and Capital Budgets, </w:t>
      </w:r>
      <w:r w:rsidRPr="00542064">
        <w:rPr>
          <w:i/>
          <w:sz w:val="20"/>
          <w:szCs w:val="20"/>
        </w:rPr>
        <w:t>Review of Economics and Statistics</w:t>
      </w:r>
      <w:r w:rsidRPr="00542064">
        <w:rPr>
          <w:sz w:val="20"/>
          <w:szCs w:val="20"/>
        </w:rPr>
        <w:t xml:space="preserve">, </w:t>
      </w:r>
      <w:r w:rsidRPr="00542064">
        <w:rPr>
          <w:b/>
          <w:sz w:val="20"/>
          <w:szCs w:val="20"/>
        </w:rPr>
        <w:t>47</w:t>
      </w:r>
      <w:r w:rsidRPr="00542064">
        <w:rPr>
          <w:sz w:val="20"/>
          <w:szCs w:val="20"/>
        </w:rPr>
        <w:t xml:space="preserve">, 13–37 </w:t>
      </w:r>
      <w:r w:rsidRPr="00542064">
        <w:rPr>
          <w:b/>
          <w:sz w:val="20"/>
          <w:szCs w:val="20"/>
        </w:rPr>
        <w:t>(1965)</w:t>
      </w:r>
    </w:p>
    <w:p w:rsidR="0093285A" w:rsidRPr="00542064" w:rsidRDefault="0093285A" w:rsidP="0093285A">
      <w:pPr>
        <w:numPr>
          <w:ilvl w:val="0"/>
          <w:numId w:val="42"/>
        </w:numPr>
        <w:spacing w:after="100"/>
        <w:jc w:val="both"/>
        <w:rPr>
          <w:sz w:val="20"/>
          <w:szCs w:val="20"/>
        </w:rPr>
      </w:pPr>
      <w:r w:rsidRPr="00542064">
        <w:rPr>
          <w:sz w:val="20"/>
          <w:szCs w:val="20"/>
        </w:rPr>
        <w:t>Mossin J.</w:t>
      </w:r>
      <w:r>
        <w:rPr>
          <w:sz w:val="20"/>
          <w:szCs w:val="20"/>
        </w:rPr>
        <w:t>,</w:t>
      </w:r>
      <w:r w:rsidRPr="00542064">
        <w:rPr>
          <w:sz w:val="20"/>
          <w:szCs w:val="20"/>
        </w:rPr>
        <w:t xml:space="preserve"> Equilibrium in a Capital Asset Market, </w:t>
      </w:r>
      <w:r w:rsidRPr="00542064">
        <w:rPr>
          <w:i/>
          <w:sz w:val="20"/>
          <w:szCs w:val="20"/>
        </w:rPr>
        <w:t>Econometrica</w:t>
      </w:r>
      <w:r w:rsidRPr="00542064">
        <w:rPr>
          <w:sz w:val="20"/>
          <w:szCs w:val="20"/>
        </w:rPr>
        <w:t xml:space="preserve">, </w:t>
      </w:r>
      <w:r w:rsidRPr="00542064">
        <w:rPr>
          <w:b/>
          <w:sz w:val="20"/>
          <w:szCs w:val="20"/>
        </w:rPr>
        <w:t>34</w:t>
      </w:r>
      <w:r w:rsidRPr="00542064">
        <w:rPr>
          <w:sz w:val="20"/>
          <w:szCs w:val="20"/>
        </w:rPr>
        <w:t xml:space="preserve">, 768 – 783 </w:t>
      </w:r>
      <w:r w:rsidRPr="00542064">
        <w:rPr>
          <w:b/>
          <w:sz w:val="20"/>
          <w:szCs w:val="20"/>
        </w:rPr>
        <w:t>(1966)</w:t>
      </w:r>
    </w:p>
    <w:p w:rsidR="0093285A" w:rsidRPr="00542064" w:rsidRDefault="0093285A" w:rsidP="0093285A">
      <w:pPr>
        <w:numPr>
          <w:ilvl w:val="0"/>
          <w:numId w:val="42"/>
        </w:numPr>
        <w:spacing w:after="100"/>
        <w:jc w:val="both"/>
        <w:rPr>
          <w:sz w:val="20"/>
          <w:szCs w:val="20"/>
        </w:rPr>
      </w:pPr>
      <w:r w:rsidRPr="00542064">
        <w:rPr>
          <w:sz w:val="20"/>
          <w:szCs w:val="20"/>
        </w:rPr>
        <w:t>Engle R.F.</w:t>
      </w:r>
      <w:r>
        <w:rPr>
          <w:sz w:val="20"/>
          <w:szCs w:val="20"/>
        </w:rPr>
        <w:t>,</w:t>
      </w:r>
      <w:r w:rsidRPr="00542064">
        <w:rPr>
          <w:sz w:val="20"/>
          <w:szCs w:val="20"/>
        </w:rPr>
        <w:t xml:space="preserve"> Autoregressive Conditional Heteroscedasticity with Estimates of the Variance of United Kingdom Inflation, </w:t>
      </w:r>
      <w:r w:rsidRPr="00542064">
        <w:rPr>
          <w:i/>
          <w:sz w:val="20"/>
          <w:szCs w:val="20"/>
        </w:rPr>
        <w:t>Econometrica</w:t>
      </w:r>
      <w:r w:rsidRPr="00542064">
        <w:rPr>
          <w:sz w:val="20"/>
          <w:szCs w:val="20"/>
        </w:rPr>
        <w:t xml:space="preserve">, </w:t>
      </w:r>
      <w:r w:rsidRPr="00542064">
        <w:rPr>
          <w:b/>
          <w:sz w:val="20"/>
          <w:szCs w:val="20"/>
        </w:rPr>
        <w:t>50</w:t>
      </w:r>
      <w:r w:rsidRPr="00542064">
        <w:rPr>
          <w:sz w:val="20"/>
          <w:szCs w:val="20"/>
        </w:rPr>
        <w:t xml:space="preserve">, 987-1006 </w:t>
      </w:r>
      <w:r w:rsidRPr="00542064">
        <w:rPr>
          <w:b/>
          <w:sz w:val="20"/>
          <w:szCs w:val="20"/>
        </w:rPr>
        <w:t>(1982)</w:t>
      </w:r>
    </w:p>
    <w:p w:rsidR="0093285A" w:rsidRPr="00542064" w:rsidRDefault="0093285A" w:rsidP="0093285A">
      <w:pPr>
        <w:numPr>
          <w:ilvl w:val="0"/>
          <w:numId w:val="42"/>
        </w:numPr>
        <w:spacing w:after="100"/>
        <w:jc w:val="both"/>
        <w:rPr>
          <w:sz w:val="20"/>
          <w:szCs w:val="20"/>
        </w:rPr>
      </w:pPr>
      <w:r w:rsidRPr="00542064">
        <w:rPr>
          <w:sz w:val="20"/>
          <w:szCs w:val="20"/>
        </w:rPr>
        <w:t>Barra and Higgins</w:t>
      </w:r>
      <w:r>
        <w:rPr>
          <w:sz w:val="20"/>
          <w:szCs w:val="20"/>
        </w:rPr>
        <w:t>,</w:t>
      </w:r>
      <w:r w:rsidRPr="00542064">
        <w:rPr>
          <w:sz w:val="20"/>
          <w:szCs w:val="20"/>
        </w:rPr>
        <w:t xml:space="preserve"> ARCH Models: Properties, Estimation and Testing, </w:t>
      </w:r>
      <w:r w:rsidRPr="00542064">
        <w:rPr>
          <w:i/>
          <w:sz w:val="20"/>
          <w:szCs w:val="20"/>
        </w:rPr>
        <w:t>Journal of Economic Surveys</w:t>
      </w:r>
      <w:r w:rsidRPr="00542064">
        <w:rPr>
          <w:sz w:val="20"/>
          <w:szCs w:val="20"/>
        </w:rPr>
        <w:t xml:space="preserve">, </w:t>
      </w:r>
      <w:r w:rsidRPr="00542064">
        <w:rPr>
          <w:b/>
          <w:sz w:val="20"/>
          <w:szCs w:val="20"/>
        </w:rPr>
        <w:t>7(4)</w:t>
      </w:r>
      <w:r w:rsidRPr="00542064">
        <w:rPr>
          <w:sz w:val="20"/>
          <w:szCs w:val="20"/>
        </w:rPr>
        <w:t xml:space="preserve">, 305-362 </w:t>
      </w:r>
      <w:r w:rsidRPr="00542064">
        <w:rPr>
          <w:b/>
          <w:sz w:val="20"/>
          <w:szCs w:val="20"/>
        </w:rPr>
        <w:t>(1993)</w:t>
      </w:r>
    </w:p>
    <w:p w:rsidR="001E0C73" w:rsidRPr="00542064" w:rsidRDefault="001E0C73" w:rsidP="001E0C73">
      <w:pPr>
        <w:numPr>
          <w:ilvl w:val="0"/>
          <w:numId w:val="42"/>
        </w:numPr>
        <w:spacing w:after="100"/>
        <w:jc w:val="both"/>
        <w:rPr>
          <w:sz w:val="20"/>
          <w:szCs w:val="20"/>
        </w:rPr>
      </w:pPr>
      <w:r w:rsidRPr="00542064">
        <w:rPr>
          <w:sz w:val="20"/>
          <w:szCs w:val="20"/>
        </w:rPr>
        <w:t>Akgiray V.</w:t>
      </w:r>
      <w:r>
        <w:rPr>
          <w:sz w:val="20"/>
          <w:szCs w:val="20"/>
        </w:rPr>
        <w:t>,</w:t>
      </w:r>
      <w:r w:rsidRPr="00542064">
        <w:rPr>
          <w:sz w:val="20"/>
          <w:szCs w:val="20"/>
        </w:rPr>
        <w:t xml:space="preserve"> Conditional Heteroscedasticity in Time Series of Stock Returns: Evidence and Forecast, </w:t>
      </w:r>
      <w:r w:rsidRPr="00542064">
        <w:rPr>
          <w:i/>
          <w:sz w:val="20"/>
          <w:szCs w:val="20"/>
        </w:rPr>
        <w:t>Journal of Business</w:t>
      </w:r>
      <w:r w:rsidRPr="00542064">
        <w:rPr>
          <w:sz w:val="20"/>
          <w:szCs w:val="20"/>
        </w:rPr>
        <w:t xml:space="preserve">, </w:t>
      </w:r>
      <w:r w:rsidRPr="00542064">
        <w:rPr>
          <w:b/>
          <w:sz w:val="20"/>
          <w:szCs w:val="20"/>
        </w:rPr>
        <w:t>62</w:t>
      </w:r>
      <w:r w:rsidRPr="00542064">
        <w:rPr>
          <w:sz w:val="20"/>
          <w:szCs w:val="20"/>
        </w:rPr>
        <w:t xml:space="preserve">, 55-80 </w:t>
      </w:r>
      <w:r w:rsidRPr="00542064">
        <w:rPr>
          <w:b/>
          <w:sz w:val="20"/>
          <w:szCs w:val="20"/>
        </w:rPr>
        <w:t>(1989)</w:t>
      </w:r>
    </w:p>
    <w:p w:rsidR="001E0C73" w:rsidRPr="00542064" w:rsidRDefault="001E0C73" w:rsidP="001E0C73">
      <w:pPr>
        <w:numPr>
          <w:ilvl w:val="0"/>
          <w:numId w:val="42"/>
        </w:numPr>
        <w:spacing w:after="100"/>
        <w:jc w:val="both"/>
        <w:rPr>
          <w:sz w:val="20"/>
          <w:szCs w:val="20"/>
        </w:rPr>
      </w:pPr>
      <w:r w:rsidRPr="00542064">
        <w:rPr>
          <w:sz w:val="20"/>
          <w:szCs w:val="20"/>
        </w:rPr>
        <w:t>Brailsford T.J. and Faff</w:t>
      </w:r>
      <w:r>
        <w:rPr>
          <w:sz w:val="20"/>
          <w:szCs w:val="20"/>
        </w:rPr>
        <w:t xml:space="preserve"> </w:t>
      </w:r>
      <w:r w:rsidRPr="00542064">
        <w:rPr>
          <w:sz w:val="20"/>
          <w:szCs w:val="20"/>
        </w:rPr>
        <w:t>R.W</w:t>
      </w:r>
      <w:r>
        <w:rPr>
          <w:sz w:val="20"/>
          <w:szCs w:val="20"/>
        </w:rPr>
        <w:t>,</w:t>
      </w:r>
      <w:r w:rsidRPr="00542064">
        <w:rPr>
          <w:sz w:val="20"/>
          <w:szCs w:val="20"/>
        </w:rPr>
        <w:t xml:space="preserve"> An Evaluation of Volatility Forecasting Techniques, </w:t>
      </w:r>
      <w:r w:rsidRPr="00542064">
        <w:rPr>
          <w:i/>
          <w:sz w:val="20"/>
          <w:szCs w:val="20"/>
        </w:rPr>
        <w:t>Journal of Banking and Finance</w:t>
      </w:r>
      <w:r w:rsidRPr="00542064">
        <w:rPr>
          <w:sz w:val="20"/>
          <w:szCs w:val="20"/>
        </w:rPr>
        <w:t xml:space="preserve">, </w:t>
      </w:r>
      <w:r w:rsidRPr="00542064">
        <w:rPr>
          <w:b/>
          <w:sz w:val="20"/>
          <w:szCs w:val="20"/>
        </w:rPr>
        <w:t>20</w:t>
      </w:r>
      <w:r w:rsidRPr="00542064">
        <w:rPr>
          <w:sz w:val="20"/>
          <w:szCs w:val="20"/>
        </w:rPr>
        <w:t xml:space="preserve">, 419-438 </w:t>
      </w:r>
      <w:r w:rsidRPr="00542064">
        <w:rPr>
          <w:b/>
          <w:sz w:val="20"/>
          <w:szCs w:val="20"/>
        </w:rPr>
        <w:t>(1996)</w:t>
      </w:r>
    </w:p>
    <w:p w:rsidR="001E0C73" w:rsidRPr="00542064" w:rsidRDefault="001E0C73" w:rsidP="001E0C73">
      <w:pPr>
        <w:numPr>
          <w:ilvl w:val="0"/>
          <w:numId w:val="42"/>
        </w:numPr>
        <w:spacing w:after="100"/>
        <w:jc w:val="both"/>
        <w:rPr>
          <w:sz w:val="20"/>
          <w:szCs w:val="20"/>
        </w:rPr>
      </w:pPr>
      <w:r w:rsidRPr="00542064">
        <w:rPr>
          <w:sz w:val="20"/>
          <w:szCs w:val="20"/>
        </w:rPr>
        <w:t>Malkiel B. and Xu Y.</w:t>
      </w:r>
      <w:r>
        <w:rPr>
          <w:sz w:val="20"/>
          <w:szCs w:val="20"/>
        </w:rPr>
        <w:t>,</w:t>
      </w:r>
      <w:r w:rsidRPr="00542064">
        <w:rPr>
          <w:sz w:val="20"/>
          <w:szCs w:val="20"/>
        </w:rPr>
        <w:t xml:space="preserve"> The Structure of Stock Market Volatility, </w:t>
      </w:r>
      <w:r w:rsidRPr="00542064">
        <w:rPr>
          <w:i/>
          <w:sz w:val="20"/>
          <w:szCs w:val="20"/>
        </w:rPr>
        <w:t>Working Paper</w:t>
      </w:r>
      <w:r w:rsidRPr="00542064">
        <w:rPr>
          <w:sz w:val="20"/>
          <w:szCs w:val="20"/>
        </w:rPr>
        <w:t xml:space="preserve"> </w:t>
      </w:r>
      <w:r w:rsidRPr="00542064">
        <w:rPr>
          <w:i/>
          <w:sz w:val="20"/>
          <w:szCs w:val="20"/>
        </w:rPr>
        <w:t>Princeton University Center for Economic Policy Studies</w:t>
      </w:r>
      <w:r w:rsidRPr="00542064">
        <w:rPr>
          <w:sz w:val="20"/>
          <w:szCs w:val="20"/>
        </w:rPr>
        <w:t xml:space="preserve">, </w:t>
      </w:r>
      <w:r w:rsidRPr="00542064">
        <w:rPr>
          <w:b/>
          <w:sz w:val="20"/>
          <w:szCs w:val="20"/>
        </w:rPr>
        <w:t>(1999)</w:t>
      </w:r>
    </w:p>
    <w:p w:rsidR="001E0C73" w:rsidRPr="00542064" w:rsidRDefault="001E0C73" w:rsidP="001E0C73">
      <w:pPr>
        <w:numPr>
          <w:ilvl w:val="0"/>
          <w:numId w:val="42"/>
        </w:numPr>
        <w:spacing w:after="100"/>
        <w:jc w:val="both"/>
        <w:rPr>
          <w:sz w:val="20"/>
          <w:szCs w:val="20"/>
        </w:rPr>
      </w:pPr>
      <w:r w:rsidRPr="00542064">
        <w:rPr>
          <w:sz w:val="20"/>
          <w:szCs w:val="20"/>
        </w:rPr>
        <w:t>Yu J.</w:t>
      </w:r>
      <w:r>
        <w:rPr>
          <w:sz w:val="20"/>
          <w:szCs w:val="20"/>
        </w:rPr>
        <w:t>,</w:t>
      </w:r>
      <w:r w:rsidRPr="00542064">
        <w:rPr>
          <w:sz w:val="20"/>
          <w:szCs w:val="20"/>
        </w:rPr>
        <w:t xml:space="preserve"> Forecasting Volatility in New Zealand Stock Market, </w:t>
      </w:r>
      <w:r w:rsidRPr="00542064">
        <w:rPr>
          <w:i/>
          <w:sz w:val="20"/>
          <w:szCs w:val="20"/>
        </w:rPr>
        <w:t>Applied Financial Economics</w:t>
      </w:r>
      <w:r w:rsidRPr="00542064">
        <w:rPr>
          <w:sz w:val="20"/>
          <w:szCs w:val="20"/>
        </w:rPr>
        <w:t xml:space="preserve">, </w:t>
      </w:r>
      <w:r w:rsidRPr="00542064">
        <w:rPr>
          <w:b/>
          <w:sz w:val="20"/>
          <w:szCs w:val="20"/>
        </w:rPr>
        <w:t>12</w:t>
      </w:r>
      <w:r w:rsidRPr="00542064">
        <w:rPr>
          <w:sz w:val="20"/>
          <w:szCs w:val="20"/>
        </w:rPr>
        <w:t xml:space="preserve">, 192-202 </w:t>
      </w:r>
      <w:r w:rsidRPr="00542064">
        <w:rPr>
          <w:b/>
          <w:sz w:val="20"/>
          <w:szCs w:val="20"/>
        </w:rPr>
        <w:t>(2002)</w:t>
      </w:r>
    </w:p>
    <w:p w:rsidR="001E0C73" w:rsidRPr="00542064" w:rsidRDefault="001E0C73" w:rsidP="001E0C73">
      <w:pPr>
        <w:numPr>
          <w:ilvl w:val="0"/>
          <w:numId w:val="42"/>
        </w:numPr>
        <w:spacing w:after="100"/>
        <w:jc w:val="both"/>
        <w:rPr>
          <w:sz w:val="20"/>
          <w:szCs w:val="20"/>
        </w:rPr>
      </w:pPr>
      <w:r w:rsidRPr="00542064">
        <w:rPr>
          <w:sz w:val="20"/>
          <w:szCs w:val="20"/>
        </w:rPr>
        <w:t>Batra A.</w:t>
      </w:r>
      <w:r>
        <w:rPr>
          <w:sz w:val="20"/>
          <w:szCs w:val="20"/>
        </w:rPr>
        <w:t>,</w:t>
      </w:r>
      <w:r w:rsidRPr="00542064">
        <w:rPr>
          <w:sz w:val="20"/>
          <w:szCs w:val="20"/>
        </w:rPr>
        <w:t xml:space="preserve"> Stock Return Volatility Persistence in India: 1973 - 2003, </w:t>
      </w:r>
      <w:r w:rsidRPr="00542064">
        <w:rPr>
          <w:i/>
          <w:sz w:val="20"/>
          <w:szCs w:val="20"/>
        </w:rPr>
        <w:t>Working Paper ICRIER</w:t>
      </w:r>
      <w:r w:rsidRPr="00542064">
        <w:rPr>
          <w:sz w:val="20"/>
          <w:szCs w:val="20"/>
        </w:rPr>
        <w:t xml:space="preserve">, New Delhi, India </w:t>
      </w:r>
      <w:r w:rsidRPr="00542064">
        <w:rPr>
          <w:b/>
          <w:sz w:val="20"/>
          <w:szCs w:val="20"/>
        </w:rPr>
        <w:t>(2003)</w:t>
      </w:r>
    </w:p>
    <w:p w:rsidR="0093285A" w:rsidRPr="00542064" w:rsidRDefault="0093285A" w:rsidP="0093285A">
      <w:pPr>
        <w:numPr>
          <w:ilvl w:val="0"/>
          <w:numId w:val="42"/>
        </w:numPr>
        <w:spacing w:after="100"/>
        <w:jc w:val="both"/>
        <w:rPr>
          <w:sz w:val="20"/>
          <w:szCs w:val="20"/>
        </w:rPr>
      </w:pPr>
      <w:r w:rsidRPr="00542064">
        <w:rPr>
          <w:sz w:val="20"/>
          <w:szCs w:val="20"/>
        </w:rPr>
        <w:t>Scott E</w:t>
      </w:r>
      <w:r>
        <w:rPr>
          <w:sz w:val="20"/>
          <w:szCs w:val="20"/>
        </w:rPr>
        <w:t>.</w:t>
      </w:r>
      <w:r w:rsidRPr="00542064">
        <w:rPr>
          <w:sz w:val="20"/>
          <w:szCs w:val="20"/>
        </w:rPr>
        <w:t xml:space="preserve"> and Stewart B.</w:t>
      </w:r>
      <w:r>
        <w:rPr>
          <w:sz w:val="20"/>
          <w:szCs w:val="20"/>
        </w:rPr>
        <w:t>,</w:t>
      </w:r>
      <w:r w:rsidRPr="00542064">
        <w:rPr>
          <w:sz w:val="20"/>
          <w:szCs w:val="20"/>
        </w:rPr>
        <w:t xml:space="preserve"> Biased Estimators and Unstable Betas, </w:t>
      </w:r>
      <w:r w:rsidRPr="00542064">
        <w:rPr>
          <w:i/>
          <w:sz w:val="20"/>
          <w:szCs w:val="20"/>
        </w:rPr>
        <w:t>Journal of Finance</w:t>
      </w:r>
      <w:r w:rsidRPr="00542064">
        <w:rPr>
          <w:sz w:val="20"/>
          <w:szCs w:val="20"/>
        </w:rPr>
        <w:t xml:space="preserve">, </w:t>
      </w:r>
      <w:r w:rsidRPr="00542064">
        <w:rPr>
          <w:b/>
          <w:sz w:val="20"/>
          <w:szCs w:val="20"/>
        </w:rPr>
        <w:t>35(1)</w:t>
      </w:r>
      <w:r w:rsidRPr="00542064">
        <w:rPr>
          <w:sz w:val="20"/>
          <w:szCs w:val="20"/>
        </w:rPr>
        <w:t xml:space="preserve">, 49-55 </w:t>
      </w:r>
      <w:r w:rsidRPr="00542064">
        <w:rPr>
          <w:b/>
          <w:sz w:val="20"/>
          <w:szCs w:val="20"/>
        </w:rPr>
        <w:t>(1980)</w:t>
      </w:r>
    </w:p>
    <w:p w:rsidR="0093285A" w:rsidRPr="00542064" w:rsidRDefault="0093285A" w:rsidP="0093285A">
      <w:pPr>
        <w:numPr>
          <w:ilvl w:val="0"/>
          <w:numId w:val="42"/>
        </w:numPr>
        <w:spacing w:after="100"/>
        <w:jc w:val="both"/>
        <w:rPr>
          <w:sz w:val="20"/>
          <w:szCs w:val="20"/>
        </w:rPr>
      </w:pPr>
      <w:r w:rsidRPr="00542064">
        <w:rPr>
          <w:sz w:val="20"/>
          <w:szCs w:val="20"/>
        </w:rPr>
        <w:t>Berglund T., Liljeblom E. and Loflund A.</w:t>
      </w:r>
      <w:r>
        <w:rPr>
          <w:sz w:val="20"/>
          <w:szCs w:val="20"/>
        </w:rPr>
        <w:t>,</w:t>
      </w:r>
      <w:r w:rsidRPr="00542064">
        <w:rPr>
          <w:sz w:val="20"/>
          <w:szCs w:val="20"/>
        </w:rPr>
        <w:t xml:space="preserve"> Estimating Betas on Daily Data for a Small Stock Market, </w:t>
      </w:r>
      <w:r w:rsidRPr="00542064">
        <w:rPr>
          <w:i/>
          <w:sz w:val="20"/>
          <w:szCs w:val="20"/>
        </w:rPr>
        <w:t>Journal of Banking and Finance</w:t>
      </w:r>
      <w:r w:rsidRPr="00542064">
        <w:rPr>
          <w:sz w:val="20"/>
          <w:szCs w:val="20"/>
        </w:rPr>
        <w:t xml:space="preserve">, 41-64 </w:t>
      </w:r>
      <w:r w:rsidRPr="00542064">
        <w:rPr>
          <w:b/>
          <w:sz w:val="20"/>
          <w:szCs w:val="20"/>
        </w:rPr>
        <w:t>(1989)</w:t>
      </w:r>
    </w:p>
    <w:p w:rsidR="006D3DDF" w:rsidRDefault="006D3DDF" w:rsidP="00837241">
      <w:pPr>
        <w:pStyle w:val="NormalWeb"/>
        <w:spacing w:before="0" w:after="0" w:line="360" w:lineRule="auto"/>
        <w:jc w:val="both"/>
        <w:rPr>
          <w:bCs/>
          <w:sz w:val="20"/>
          <w:szCs w:val="20"/>
        </w:rPr>
        <w:sectPr w:rsidR="006D3DDF" w:rsidSect="006D3DDF">
          <w:type w:val="continuous"/>
          <w:pgSz w:w="12240" w:h="15840" w:code="1"/>
          <w:pgMar w:top="1440" w:right="749" w:bottom="1440" w:left="907" w:header="720" w:footer="720" w:gutter="0"/>
          <w:cols w:num="2" w:space="227"/>
          <w:docGrid w:linePitch="360"/>
        </w:sectPr>
      </w:pPr>
    </w:p>
    <w:p w:rsidR="0093285A" w:rsidRPr="00B06054" w:rsidRDefault="0093285A" w:rsidP="00837241">
      <w:pPr>
        <w:pStyle w:val="NormalWeb"/>
        <w:spacing w:before="0" w:after="0" w:line="360" w:lineRule="auto"/>
        <w:jc w:val="both"/>
        <w:rPr>
          <w:bCs/>
          <w:sz w:val="20"/>
          <w:szCs w:val="20"/>
        </w:rPr>
      </w:pPr>
    </w:p>
    <w:sectPr w:rsidR="0093285A" w:rsidRPr="00B06054" w:rsidSect="00837241">
      <w:type w:val="continuous"/>
      <w:pgSz w:w="12240" w:h="15840" w:code="1"/>
      <w:pgMar w:top="1440" w:right="749" w:bottom="1440" w:left="907" w:header="720" w:footer="720" w:gutter="0"/>
      <w:cols w:space="22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85A" w:rsidRDefault="0093285A" w:rsidP="008905F0">
      <w:r>
        <w:separator/>
      </w:r>
    </w:p>
  </w:endnote>
  <w:endnote w:type="continuationSeparator" w:id="0">
    <w:p w:rsidR="0093285A" w:rsidRDefault="0093285A" w:rsidP="008905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IHOO+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WEZXC+HelveticaNeue-Light">
    <w:altName w:val="Helvetica Neue"/>
    <w:panose1 w:val="00000000000000000000"/>
    <w:charset w:val="00"/>
    <w:family w:val="swiss"/>
    <w:notTrueType/>
    <w:pitch w:val="default"/>
    <w:sig w:usb0="00000003" w:usb1="00000000" w:usb2="00000000" w:usb3="00000000" w:csb0="00000001" w:csb1="00000000"/>
  </w:font>
  <w:font w:name="Yagut">
    <w:charset w:val="B2"/>
    <w:family w:val="auto"/>
    <w:pitch w:val="variable"/>
    <w:sig w:usb0="00006001"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85A" w:rsidRDefault="00FE5A31" w:rsidP="001B4690">
    <w:pPr>
      <w:pStyle w:val="Footer"/>
      <w:tabs>
        <w:tab w:val="clear" w:pos="4680"/>
        <w:tab w:val="clear" w:pos="9360"/>
        <w:tab w:val="center" w:pos="9990"/>
      </w:tabs>
      <w:ind w:left="90"/>
    </w:pPr>
    <w:r w:rsidRPr="00FE5A31">
      <w:rPr>
        <w:b/>
        <w:noProof/>
        <w:sz w:val="20"/>
        <w:szCs w:val="20"/>
      </w:rPr>
      <w:pict>
        <v:rect id="_x0000_s2050" style="position:absolute;left:0;text-align:left;margin-left:2.15pt;margin-top:-1.55pt;width:479.9pt;height:16.9pt;z-index:-251654144" fillcolor="#d8d8d8" stroked="f" strokecolor="#a5a5a5"/>
      </w:pict>
    </w:r>
    <w:r w:rsidRPr="00FE5A31">
      <w:rPr>
        <w:b/>
        <w:noProof/>
        <w:sz w:val="20"/>
        <w:szCs w:val="20"/>
      </w:rPr>
      <w:pict>
        <v:rect id="_x0000_s2051" style="position:absolute;left:0;text-align:left;margin-left:485.2pt;margin-top:-1.55pt;width:29.45pt;height:16.9pt;z-index:-251653120" fillcolor="black" stroked="f" strokecolor="#a5a5a5"/>
      </w:pict>
    </w:r>
    <w:r w:rsidR="0093285A" w:rsidRPr="00101DF0">
      <w:rPr>
        <w:b/>
        <w:sz w:val="20"/>
        <w:szCs w:val="20"/>
      </w:rPr>
      <w:t xml:space="preserve"> International Science Congress Association</w:t>
    </w:r>
    <w:r w:rsidR="0093285A">
      <w:rPr>
        <w:b/>
        <w:sz w:val="20"/>
        <w:szCs w:val="20"/>
      </w:rPr>
      <w:tab/>
      <w:t xml:space="preserve"> </w:t>
    </w:r>
    <w:r w:rsidRPr="00101DF0">
      <w:rPr>
        <w:color w:val="FFFFFF"/>
        <w:sz w:val="20"/>
        <w:szCs w:val="20"/>
      </w:rPr>
      <w:fldChar w:fldCharType="begin"/>
    </w:r>
    <w:r w:rsidR="0093285A" w:rsidRPr="00101DF0">
      <w:rPr>
        <w:color w:val="FFFFFF"/>
        <w:sz w:val="20"/>
        <w:szCs w:val="20"/>
      </w:rPr>
      <w:instrText xml:space="preserve"> PAGE   \* MERGEFORMAT </w:instrText>
    </w:r>
    <w:r w:rsidRPr="00101DF0">
      <w:rPr>
        <w:color w:val="FFFFFF"/>
        <w:sz w:val="20"/>
        <w:szCs w:val="20"/>
      </w:rPr>
      <w:fldChar w:fldCharType="separate"/>
    </w:r>
    <w:r w:rsidR="0093285A">
      <w:rPr>
        <w:noProof/>
        <w:color w:val="FFFFFF"/>
        <w:sz w:val="20"/>
        <w:szCs w:val="20"/>
      </w:rPr>
      <w:t>2</w:t>
    </w:r>
    <w:r w:rsidRPr="00101DF0">
      <w:rPr>
        <w:color w:val="FFFFFF"/>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85A" w:rsidRDefault="00FE5A31" w:rsidP="009521DE">
    <w:pPr>
      <w:pStyle w:val="Footer"/>
      <w:tabs>
        <w:tab w:val="clear" w:pos="4680"/>
        <w:tab w:val="clear" w:pos="9360"/>
        <w:tab w:val="left" w:pos="4857"/>
        <w:tab w:val="center" w:pos="9990"/>
      </w:tabs>
      <w:ind w:left="90"/>
    </w:pPr>
    <w:r w:rsidRPr="00FE5A31">
      <w:rPr>
        <w:b/>
        <w:noProof/>
        <w:sz w:val="20"/>
        <w:szCs w:val="20"/>
      </w:rPr>
      <w:pict>
        <v:rect id="_x0000_s2052" style="position:absolute;left:0;text-align:left;margin-left:-.05pt;margin-top:-1.55pt;width:499.55pt;height:16.9pt;z-index:-251649024" fillcolor="#d8d8d8" stroked="f" strokecolor="#a5a5a5"/>
      </w:pict>
    </w:r>
    <w:r w:rsidRPr="00FE5A31">
      <w:rPr>
        <w:b/>
        <w:noProof/>
        <w:sz w:val="20"/>
        <w:szCs w:val="20"/>
      </w:rPr>
      <w:pict>
        <v:rect id="_x0000_s2053" style="position:absolute;left:0;text-align:left;margin-left:504.5pt;margin-top:-1.55pt;width:24.95pt;height:16.9pt;z-index:-251648000" fillcolor="black" stroked="f" strokecolor="#a5a5a5"/>
      </w:pict>
    </w:r>
    <w:r w:rsidR="0093285A" w:rsidRPr="00101DF0">
      <w:rPr>
        <w:b/>
        <w:sz w:val="20"/>
        <w:szCs w:val="20"/>
      </w:rPr>
      <w:t xml:space="preserve"> International Science Congress Association</w:t>
    </w:r>
    <w:r w:rsidR="0093285A">
      <w:rPr>
        <w:b/>
        <w:sz w:val="20"/>
        <w:szCs w:val="20"/>
      </w:rPr>
      <w:tab/>
      <w:t xml:space="preserve"> </w:t>
    </w:r>
    <w:r w:rsidR="0093285A">
      <w:rPr>
        <w:b/>
        <w:sz w:val="20"/>
        <w:szCs w:val="20"/>
      </w:rPr>
      <w:tab/>
    </w:r>
    <w:r w:rsidR="0093285A">
      <w:rPr>
        <w:b/>
        <w:sz w:val="20"/>
        <w:szCs w:val="20"/>
      </w:rPr>
      <w:tab/>
      <w:t xml:space="preserve">    </w:t>
    </w:r>
    <w:r w:rsidRPr="00101DF0">
      <w:rPr>
        <w:color w:val="FFFFFF"/>
        <w:sz w:val="20"/>
        <w:szCs w:val="20"/>
      </w:rPr>
      <w:fldChar w:fldCharType="begin"/>
    </w:r>
    <w:r w:rsidR="0093285A" w:rsidRPr="00101DF0">
      <w:rPr>
        <w:color w:val="FFFFFF"/>
        <w:sz w:val="20"/>
        <w:szCs w:val="20"/>
      </w:rPr>
      <w:instrText xml:space="preserve"> PAGE   \* MERGEFORMAT </w:instrText>
    </w:r>
    <w:r w:rsidRPr="00101DF0">
      <w:rPr>
        <w:color w:val="FFFFFF"/>
        <w:sz w:val="20"/>
        <w:szCs w:val="20"/>
      </w:rPr>
      <w:fldChar w:fldCharType="separate"/>
    </w:r>
    <w:r w:rsidR="00D9005B">
      <w:rPr>
        <w:noProof/>
        <w:color w:val="FFFFFF"/>
        <w:sz w:val="20"/>
        <w:szCs w:val="20"/>
      </w:rPr>
      <w:t>41</w:t>
    </w:r>
    <w:r w:rsidRPr="00101DF0">
      <w:rPr>
        <w:color w:val="FFFFFF"/>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85A" w:rsidRPr="004F73C4" w:rsidRDefault="00FE5A31" w:rsidP="005D78D7">
    <w:pPr>
      <w:pStyle w:val="Footer"/>
      <w:tabs>
        <w:tab w:val="clear" w:pos="4680"/>
        <w:tab w:val="clear" w:pos="9360"/>
        <w:tab w:val="center" w:pos="10260"/>
      </w:tabs>
    </w:pPr>
    <w:r w:rsidRPr="00FE5A31">
      <w:rPr>
        <w:b/>
        <w:noProof/>
        <w:sz w:val="16"/>
        <w:szCs w:val="20"/>
      </w:rPr>
      <w:pict>
        <v:rect id="_x0000_s2072" style="position:absolute;margin-left:505.35pt;margin-top:-1.2pt;width:21.6pt;height:16.9pt;z-index:-251638784" fillcolor="black" stroked="f" strokecolor="#a5a5a5"/>
      </w:pict>
    </w:r>
    <w:r w:rsidRPr="00FE5A31">
      <w:rPr>
        <w:b/>
        <w:noProof/>
        <w:sz w:val="16"/>
        <w:szCs w:val="20"/>
      </w:rPr>
      <w:pict>
        <v:rect id="_x0000_s2071" style="position:absolute;margin-left:-1.5pt;margin-top:-1.35pt;width:498.05pt;height:17.05pt;z-index:-251639808" fillcolor="#d8d8d8" stroked="f" strokecolor="#a5a5a5"/>
      </w:pict>
    </w:r>
    <w:r w:rsidR="0093285A" w:rsidRPr="00101DF0">
      <w:rPr>
        <w:b/>
        <w:sz w:val="20"/>
        <w:szCs w:val="20"/>
      </w:rPr>
      <w:t>International Science Congress Association</w:t>
    </w:r>
    <w:r w:rsidR="0093285A">
      <w:rPr>
        <w:b/>
        <w:sz w:val="20"/>
        <w:szCs w:val="20"/>
      </w:rPr>
      <w:tab/>
      <w:t xml:space="preserve"> </w:t>
    </w:r>
    <w:r w:rsidRPr="00101DF0">
      <w:rPr>
        <w:color w:val="FFFFFF"/>
        <w:sz w:val="20"/>
        <w:szCs w:val="20"/>
      </w:rPr>
      <w:fldChar w:fldCharType="begin"/>
    </w:r>
    <w:r w:rsidR="0093285A" w:rsidRPr="00101DF0">
      <w:rPr>
        <w:color w:val="FFFFFF"/>
        <w:sz w:val="20"/>
        <w:szCs w:val="20"/>
      </w:rPr>
      <w:instrText xml:space="preserve"> PAGE   \* MERGEFORMAT </w:instrText>
    </w:r>
    <w:r w:rsidRPr="00101DF0">
      <w:rPr>
        <w:color w:val="FFFFFF"/>
        <w:sz w:val="20"/>
        <w:szCs w:val="20"/>
      </w:rPr>
      <w:fldChar w:fldCharType="separate"/>
    </w:r>
    <w:r w:rsidR="00D9005B">
      <w:rPr>
        <w:noProof/>
        <w:color w:val="FFFFFF"/>
        <w:sz w:val="20"/>
        <w:szCs w:val="20"/>
      </w:rPr>
      <w:t>46</w:t>
    </w:r>
    <w:r w:rsidRPr="00101DF0">
      <w:rPr>
        <w:color w:val="FFFFFF"/>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85A" w:rsidRDefault="00FE5A31" w:rsidP="0088479D">
    <w:pPr>
      <w:pStyle w:val="Footer"/>
      <w:tabs>
        <w:tab w:val="clear" w:pos="9360"/>
        <w:tab w:val="right" w:pos="10890"/>
      </w:tabs>
    </w:pPr>
    <w:r w:rsidRPr="00FE5A31">
      <w:rPr>
        <w:b/>
        <w:noProof/>
      </w:rPr>
      <w:pict>
        <v:rect id="_x0000_s2062" style="position:absolute;margin-left:.2pt;margin-top:-1.55pt;width:521.55pt;height:16.9pt;z-index:-251642880" fillcolor="#d8d8d8" stroked="f" strokecolor="#a5a5a5"/>
      </w:pict>
    </w:r>
    <w:r w:rsidRPr="00FE5A31">
      <w:rPr>
        <w:b/>
        <w:noProof/>
      </w:rPr>
      <w:pict>
        <v:rect id="_x0000_s2063" style="position:absolute;margin-left:533.1pt;margin-top:-1.55pt;width:15.85pt;height:16.9pt;z-index:-251641856" fillcolor="black" stroked="f" strokecolor="#a5a5a5"/>
      </w:pict>
    </w:r>
    <w:r w:rsidR="0093285A">
      <w:rPr>
        <w:b/>
      </w:rPr>
      <w:t xml:space="preserve"> </w:t>
    </w:r>
    <w:r w:rsidR="0093285A" w:rsidRPr="00971290">
      <w:rPr>
        <w:b/>
      </w:rPr>
      <w:t>International Science Congress Association</w:t>
    </w:r>
    <w:r w:rsidR="0093285A">
      <w:rPr>
        <w:b/>
      </w:rPr>
      <w:tab/>
    </w:r>
    <w:r w:rsidR="0093285A">
      <w:rPr>
        <w:b/>
      </w:rPr>
      <w:tab/>
      <w:t xml:space="preserve">   </w:t>
    </w:r>
    <w:r w:rsidRPr="00B81A0D">
      <w:rPr>
        <w:color w:val="FFFFFF"/>
      </w:rPr>
      <w:fldChar w:fldCharType="begin"/>
    </w:r>
    <w:r w:rsidR="0093285A" w:rsidRPr="00B81A0D">
      <w:rPr>
        <w:color w:val="FFFFFF"/>
      </w:rPr>
      <w:instrText xml:space="preserve"> PAGE   \* MERGEFORMAT </w:instrText>
    </w:r>
    <w:r w:rsidRPr="00B81A0D">
      <w:rPr>
        <w:color w:val="FFFFFF"/>
      </w:rPr>
      <w:fldChar w:fldCharType="separate"/>
    </w:r>
    <w:r w:rsidR="0093285A">
      <w:rPr>
        <w:noProof/>
        <w:color w:val="FFFFFF"/>
      </w:rPr>
      <w:t>5</w:t>
    </w:r>
    <w:r w:rsidRPr="00B81A0D">
      <w:rPr>
        <w:color w:val="FFFFF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85A" w:rsidRDefault="0093285A" w:rsidP="008905F0">
      <w:r>
        <w:separator/>
      </w:r>
    </w:p>
  </w:footnote>
  <w:footnote w:type="continuationSeparator" w:id="0">
    <w:p w:rsidR="0093285A" w:rsidRDefault="0093285A" w:rsidP="008905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85A" w:rsidRPr="008905F0" w:rsidRDefault="0093285A" w:rsidP="00C90AD6">
    <w:pPr>
      <w:autoSpaceDE w:val="0"/>
      <w:autoSpaceDN w:val="0"/>
      <w:adjustRightInd w:val="0"/>
      <w:ind w:right="54"/>
      <w:rPr>
        <w:i/>
        <w:iCs/>
        <w:sz w:val="20"/>
        <w:szCs w:val="20"/>
      </w:rPr>
    </w:pPr>
    <w:r w:rsidRPr="008905F0">
      <w:rPr>
        <w:i/>
        <w:iCs/>
        <w:sz w:val="20"/>
        <w:szCs w:val="20"/>
      </w:rPr>
      <w:t xml:space="preserve">Research Journal of Chemical Sciences </w:t>
    </w:r>
    <w:r>
      <w:rPr>
        <w:i/>
        <w:iCs/>
        <w:sz w:val="20"/>
        <w:szCs w:val="20"/>
      </w:rPr>
      <w:t>______</w:t>
    </w:r>
    <w:r w:rsidRPr="008905F0">
      <w:rPr>
        <w:i/>
        <w:iCs/>
        <w:sz w:val="20"/>
        <w:szCs w:val="20"/>
      </w:rPr>
      <w:t>_</w:t>
    </w:r>
    <w:r>
      <w:rPr>
        <w:i/>
        <w:iCs/>
        <w:sz w:val="20"/>
        <w:szCs w:val="20"/>
      </w:rPr>
      <w:t>_</w:t>
    </w:r>
    <w:r w:rsidRPr="008905F0">
      <w:rPr>
        <w:i/>
        <w:iCs/>
        <w:sz w:val="20"/>
        <w:szCs w:val="20"/>
      </w:rPr>
      <w:t>_______________________________</w:t>
    </w:r>
    <w:r>
      <w:rPr>
        <w:i/>
        <w:iCs/>
        <w:sz w:val="20"/>
        <w:szCs w:val="20"/>
      </w:rPr>
      <w:t>______________</w:t>
    </w:r>
    <w:r w:rsidRPr="008905F0">
      <w:rPr>
        <w:i/>
        <w:iCs/>
        <w:sz w:val="20"/>
        <w:szCs w:val="20"/>
      </w:rPr>
      <w:t>__</w:t>
    </w:r>
    <w:r w:rsidRPr="005D0198">
      <w:rPr>
        <w:i/>
        <w:iCs/>
        <w:sz w:val="20"/>
        <w:szCs w:val="20"/>
      </w:rPr>
      <w:t xml:space="preserve"> </w:t>
    </w:r>
    <w:r w:rsidRPr="008905F0">
      <w:rPr>
        <w:bCs/>
        <w:sz w:val="20"/>
        <w:szCs w:val="20"/>
        <w:lang w:eastAsia="en-IN"/>
      </w:rPr>
      <w:t>ISSN 2231-606X</w:t>
    </w:r>
    <w:r w:rsidRPr="008905F0">
      <w:rPr>
        <w:i/>
        <w:iCs/>
        <w:sz w:val="20"/>
        <w:szCs w:val="20"/>
      </w:rPr>
      <w:t xml:space="preserve"> </w:t>
    </w:r>
  </w:p>
  <w:p w:rsidR="0093285A" w:rsidRDefault="0093285A" w:rsidP="00C90AD6">
    <w:pPr>
      <w:pStyle w:val="Header"/>
      <w:tabs>
        <w:tab w:val="clear" w:pos="4680"/>
        <w:tab w:val="clear" w:pos="9360"/>
        <w:tab w:val="right" w:pos="10260"/>
      </w:tabs>
      <w:ind w:right="36"/>
    </w:pPr>
    <w:r w:rsidRPr="008905F0">
      <w:rPr>
        <w:iCs/>
        <w:sz w:val="20"/>
        <w:szCs w:val="20"/>
      </w:rPr>
      <w:t xml:space="preserve">Vol. </w:t>
    </w:r>
    <w:r w:rsidRPr="008905F0">
      <w:rPr>
        <w:b/>
        <w:iCs/>
        <w:sz w:val="20"/>
        <w:szCs w:val="20"/>
      </w:rPr>
      <w:t xml:space="preserve">1(5), </w:t>
    </w:r>
    <w:r w:rsidRPr="008905F0">
      <w:rPr>
        <w:iCs/>
        <w:sz w:val="20"/>
        <w:szCs w:val="20"/>
      </w:rPr>
      <w:t xml:space="preserve">1-7, Aug. </w:t>
    </w:r>
    <w:r w:rsidRPr="008905F0">
      <w:rPr>
        <w:b/>
        <w:iCs/>
        <w:sz w:val="20"/>
        <w:szCs w:val="20"/>
      </w:rPr>
      <w:t>(2011)</w:t>
    </w:r>
    <w:r>
      <w:rPr>
        <w:b/>
        <w:iCs/>
        <w:sz w:val="20"/>
        <w:szCs w:val="20"/>
      </w:rPr>
      <w:tab/>
    </w:r>
    <w:r w:rsidRPr="008905F0">
      <w:rPr>
        <w:i/>
        <w:iCs/>
        <w:sz w:val="20"/>
        <w:szCs w:val="20"/>
      </w:rPr>
      <w:t>Res.J.Chem.Sci.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85A" w:rsidRPr="008905F0" w:rsidRDefault="0093285A" w:rsidP="009E0B9F">
    <w:pPr>
      <w:autoSpaceDE w:val="0"/>
      <w:autoSpaceDN w:val="0"/>
      <w:adjustRightInd w:val="0"/>
      <w:ind w:left="1170" w:right="54"/>
      <w:rPr>
        <w:i/>
        <w:iCs/>
        <w:sz w:val="20"/>
        <w:szCs w:val="20"/>
      </w:rPr>
    </w:pPr>
    <w:r w:rsidRPr="00521176">
      <w:rPr>
        <w:i/>
        <w:iCs/>
        <w:noProof/>
        <w:sz w:val="20"/>
        <w:szCs w:val="20"/>
        <w:lang w:val="en-IN" w:eastAsia="en-IN"/>
      </w:rPr>
      <w:drawing>
        <wp:anchor distT="0" distB="0" distL="114300" distR="114300" simplePos="0" relativeHeight="251679744" behindDoc="0" locked="0" layoutInCell="1" allowOverlap="1">
          <wp:simplePos x="0" y="0"/>
          <wp:positionH relativeFrom="column">
            <wp:posOffset>125493</wp:posOffset>
          </wp:positionH>
          <wp:positionV relativeFrom="paragraph">
            <wp:posOffset>-179127</wp:posOffset>
          </wp:positionV>
          <wp:extent cx="606842" cy="600502"/>
          <wp:effectExtent l="19050" t="0" r="2758"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40352" t="22694" r="26486" b="16236"/>
                  <a:stretch>
                    <a:fillRect/>
                  </a:stretch>
                </pic:blipFill>
                <pic:spPr bwMode="auto">
                  <a:xfrm>
                    <a:off x="0" y="0"/>
                    <a:ext cx="606842" cy="600502"/>
                  </a:xfrm>
                  <a:prstGeom prst="rect">
                    <a:avLst/>
                  </a:prstGeom>
                  <a:noFill/>
                  <a:ln w="9525">
                    <a:noFill/>
                    <a:miter lim="800000"/>
                    <a:headEnd/>
                    <a:tailEnd/>
                  </a:ln>
                </pic:spPr>
              </pic:pic>
            </a:graphicData>
          </a:graphic>
        </wp:anchor>
      </w:drawing>
    </w:r>
    <w:r w:rsidRPr="008905F0">
      <w:rPr>
        <w:i/>
        <w:iCs/>
        <w:sz w:val="20"/>
        <w:szCs w:val="20"/>
      </w:rPr>
      <w:t xml:space="preserve"> Research Journal of </w:t>
    </w:r>
    <w:r>
      <w:rPr>
        <w:i/>
        <w:iCs/>
        <w:sz w:val="20"/>
        <w:szCs w:val="20"/>
      </w:rPr>
      <w:t xml:space="preserve">Recent </w:t>
    </w:r>
    <w:r w:rsidRPr="008905F0">
      <w:rPr>
        <w:i/>
        <w:iCs/>
        <w:sz w:val="20"/>
        <w:szCs w:val="20"/>
      </w:rPr>
      <w:t xml:space="preserve">Sciences </w:t>
    </w:r>
    <w:r>
      <w:rPr>
        <w:i/>
        <w:iCs/>
        <w:sz w:val="20"/>
        <w:szCs w:val="20"/>
      </w:rPr>
      <w:t>______</w:t>
    </w:r>
    <w:r w:rsidRPr="008905F0">
      <w:rPr>
        <w:i/>
        <w:iCs/>
        <w:sz w:val="20"/>
        <w:szCs w:val="20"/>
      </w:rPr>
      <w:t>______________________________</w:t>
    </w:r>
    <w:r>
      <w:rPr>
        <w:i/>
        <w:iCs/>
        <w:sz w:val="20"/>
        <w:szCs w:val="20"/>
      </w:rPr>
      <w:t>______</w:t>
    </w:r>
    <w:r w:rsidRPr="008905F0">
      <w:rPr>
        <w:i/>
        <w:iCs/>
        <w:sz w:val="20"/>
        <w:szCs w:val="20"/>
      </w:rPr>
      <w:t>____</w:t>
    </w:r>
    <w:r>
      <w:rPr>
        <w:i/>
        <w:iCs/>
        <w:sz w:val="20"/>
        <w:szCs w:val="20"/>
      </w:rPr>
      <w:t>___</w:t>
    </w:r>
    <w:r w:rsidRPr="005D0198">
      <w:rPr>
        <w:i/>
        <w:iCs/>
        <w:sz w:val="20"/>
        <w:szCs w:val="20"/>
      </w:rPr>
      <w:t xml:space="preserve"> </w:t>
    </w:r>
    <w:r w:rsidRPr="00F27022">
      <w:rPr>
        <w:iCs/>
        <w:sz w:val="20"/>
        <w:szCs w:val="20"/>
      </w:rPr>
      <w:t>ISSN 2277-2502</w:t>
    </w:r>
  </w:p>
  <w:p w:rsidR="0093285A" w:rsidRPr="008905F0" w:rsidRDefault="0093285A" w:rsidP="00E43E83">
    <w:pPr>
      <w:pStyle w:val="Header"/>
      <w:tabs>
        <w:tab w:val="clear" w:pos="4680"/>
        <w:tab w:val="clear" w:pos="9360"/>
        <w:tab w:val="right" w:pos="10530"/>
      </w:tabs>
      <w:ind w:left="1170"/>
      <w:rPr>
        <w:sz w:val="20"/>
        <w:szCs w:val="20"/>
      </w:rPr>
    </w:pPr>
    <w:r>
      <w:rPr>
        <w:iCs/>
        <w:sz w:val="20"/>
        <w:szCs w:val="20"/>
      </w:rPr>
      <w:t xml:space="preserve"> </w:t>
    </w:r>
    <w:r w:rsidRPr="008905F0">
      <w:rPr>
        <w:iCs/>
        <w:sz w:val="20"/>
        <w:szCs w:val="20"/>
      </w:rPr>
      <w:t xml:space="preserve">Vol. </w:t>
    </w:r>
    <w:r w:rsidR="00AB76C1">
      <w:rPr>
        <w:b/>
        <w:iCs/>
        <w:sz w:val="20"/>
        <w:szCs w:val="20"/>
      </w:rPr>
      <w:t xml:space="preserve">1(11), </w:t>
    </w:r>
    <w:r w:rsidR="002F575D">
      <w:rPr>
        <w:iCs/>
        <w:sz w:val="20"/>
        <w:szCs w:val="20"/>
      </w:rPr>
      <w:t>41</w:t>
    </w:r>
    <w:r w:rsidR="00AB76C1">
      <w:rPr>
        <w:iCs/>
        <w:sz w:val="20"/>
        <w:szCs w:val="20"/>
      </w:rPr>
      <w:t>-</w:t>
    </w:r>
    <w:r w:rsidR="002F575D">
      <w:rPr>
        <w:iCs/>
        <w:sz w:val="20"/>
        <w:szCs w:val="20"/>
      </w:rPr>
      <w:t>46</w:t>
    </w:r>
    <w:r w:rsidR="00AB76C1">
      <w:rPr>
        <w:iCs/>
        <w:sz w:val="20"/>
        <w:szCs w:val="20"/>
      </w:rPr>
      <w:t>, November</w:t>
    </w:r>
    <w:r w:rsidR="00AB76C1" w:rsidRPr="008905F0">
      <w:rPr>
        <w:b/>
        <w:iCs/>
        <w:sz w:val="20"/>
        <w:szCs w:val="20"/>
      </w:rPr>
      <w:t xml:space="preserve"> </w:t>
    </w:r>
    <w:r w:rsidRPr="008905F0">
      <w:rPr>
        <w:b/>
        <w:iCs/>
        <w:sz w:val="20"/>
        <w:szCs w:val="20"/>
      </w:rPr>
      <w:t>(201</w:t>
    </w:r>
    <w:r>
      <w:rPr>
        <w:b/>
        <w:iCs/>
        <w:sz w:val="20"/>
        <w:szCs w:val="20"/>
      </w:rPr>
      <w:t>2</w:t>
    </w:r>
    <w:r w:rsidRPr="008905F0">
      <w:rPr>
        <w:b/>
        <w:iCs/>
        <w:sz w:val="20"/>
        <w:szCs w:val="20"/>
      </w:rPr>
      <w:t>)</w:t>
    </w:r>
    <w:r>
      <w:rPr>
        <w:b/>
        <w:iCs/>
        <w:sz w:val="20"/>
        <w:szCs w:val="20"/>
      </w:rPr>
      <w:tab/>
    </w:r>
    <w:r w:rsidRPr="008905F0">
      <w:rPr>
        <w:i/>
        <w:iCs/>
        <w:sz w:val="20"/>
        <w:szCs w:val="20"/>
      </w:rPr>
      <w:t>Res.J.</w:t>
    </w:r>
    <w:r>
      <w:rPr>
        <w:i/>
        <w:iCs/>
        <w:sz w:val="20"/>
        <w:szCs w:val="20"/>
      </w:rPr>
      <w:t xml:space="preserve">Recent </w:t>
    </w:r>
    <w:r w:rsidRPr="008905F0">
      <w:rPr>
        <w:i/>
        <w:iCs/>
        <w:sz w:val="20"/>
        <w:szCs w:val="20"/>
      </w:rPr>
      <w:t>Sci.</w:t>
    </w:r>
    <w:r>
      <w:rPr>
        <w:b/>
        <w:iCs/>
        <w:sz w:val="20"/>
        <w:szCs w:val="20"/>
      </w:rPr>
      <w:t xml:space="preserve"> </w:t>
    </w:r>
  </w:p>
  <w:p w:rsidR="0093285A" w:rsidRDefault="009328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85A" w:rsidRPr="008905F0" w:rsidRDefault="0093285A" w:rsidP="008F3DEB">
    <w:pPr>
      <w:autoSpaceDE w:val="0"/>
      <w:autoSpaceDN w:val="0"/>
      <w:adjustRightInd w:val="0"/>
      <w:ind w:right="-48"/>
      <w:rPr>
        <w:i/>
        <w:iCs/>
        <w:sz w:val="20"/>
        <w:szCs w:val="20"/>
      </w:rPr>
    </w:pPr>
    <w:r w:rsidRPr="008905F0">
      <w:rPr>
        <w:i/>
        <w:iCs/>
        <w:sz w:val="20"/>
        <w:szCs w:val="20"/>
      </w:rPr>
      <w:t xml:space="preserve">Research Journal of </w:t>
    </w:r>
    <w:r>
      <w:rPr>
        <w:i/>
        <w:iCs/>
        <w:sz w:val="20"/>
        <w:szCs w:val="20"/>
      </w:rPr>
      <w:t xml:space="preserve">Recent </w:t>
    </w:r>
    <w:r w:rsidRPr="008905F0">
      <w:rPr>
        <w:i/>
        <w:iCs/>
        <w:sz w:val="20"/>
        <w:szCs w:val="20"/>
      </w:rPr>
      <w:t xml:space="preserve">Sciences </w:t>
    </w:r>
    <w:r>
      <w:rPr>
        <w:i/>
        <w:iCs/>
        <w:sz w:val="20"/>
        <w:szCs w:val="20"/>
      </w:rPr>
      <w:t>______</w:t>
    </w:r>
    <w:r w:rsidRPr="008905F0">
      <w:rPr>
        <w:i/>
        <w:iCs/>
        <w:sz w:val="20"/>
        <w:szCs w:val="20"/>
      </w:rPr>
      <w:t>_</w:t>
    </w:r>
    <w:r>
      <w:rPr>
        <w:i/>
        <w:iCs/>
        <w:sz w:val="20"/>
        <w:szCs w:val="20"/>
      </w:rPr>
      <w:t>_</w:t>
    </w:r>
    <w:r w:rsidRPr="008905F0">
      <w:rPr>
        <w:i/>
        <w:iCs/>
        <w:sz w:val="20"/>
        <w:szCs w:val="20"/>
      </w:rPr>
      <w:t>_______________________________</w:t>
    </w:r>
    <w:r>
      <w:rPr>
        <w:i/>
        <w:iCs/>
        <w:sz w:val="20"/>
        <w:szCs w:val="20"/>
      </w:rPr>
      <w:t>______________</w:t>
    </w:r>
    <w:r w:rsidRPr="008905F0">
      <w:rPr>
        <w:i/>
        <w:iCs/>
        <w:sz w:val="20"/>
        <w:szCs w:val="20"/>
      </w:rPr>
      <w:t>_</w:t>
    </w:r>
    <w:r>
      <w:rPr>
        <w:i/>
        <w:iCs/>
        <w:sz w:val="20"/>
        <w:szCs w:val="20"/>
      </w:rPr>
      <w:t>________</w:t>
    </w:r>
    <w:r w:rsidRPr="005D0198">
      <w:rPr>
        <w:i/>
        <w:iCs/>
        <w:sz w:val="20"/>
        <w:szCs w:val="20"/>
      </w:rPr>
      <w:t xml:space="preserve"> </w:t>
    </w:r>
    <w:r w:rsidRPr="00F27022">
      <w:rPr>
        <w:iCs/>
        <w:sz w:val="20"/>
        <w:szCs w:val="20"/>
      </w:rPr>
      <w:t>ISSN 2277-2502</w:t>
    </w:r>
  </w:p>
  <w:p w:rsidR="0093285A" w:rsidRPr="008905F0" w:rsidRDefault="0093285A" w:rsidP="008F3DEB">
    <w:pPr>
      <w:autoSpaceDE w:val="0"/>
      <w:autoSpaceDN w:val="0"/>
      <w:adjustRightInd w:val="0"/>
      <w:ind w:right="-48"/>
      <w:rPr>
        <w:i/>
        <w:iCs/>
        <w:sz w:val="20"/>
        <w:szCs w:val="20"/>
      </w:rPr>
    </w:pPr>
    <w:r w:rsidRPr="008905F0">
      <w:rPr>
        <w:iCs/>
        <w:sz w:val="20"/>
        <w:szCs w:val="20"/>
      </w:rPr>
      <w:t xml:space="preserve">Vol. </w:t>
    </w:r>
    <w:r w:rsidR="00AB76C1">
      <w:rPr>
        <w:b/>
        <w:iCs/>
        <w:sz w:val="20"/>
        <w:szCs w:val="20"/>
      </w:rPr>
      <w:t xml:space="preserve">1(11), </w:t>
    </w:r>
    <w:r w:rsidR="002F575D">
      <w:rPr>
        <w:iCs/>
        <w:sz w:val="20"/>
        <w:szCs w:val="20"/>
      </w:rPr>
      <w:t>41</w:t>
    </w:r>
    <w:r w:rsidR="00AB76C1">
      <w:rPr>
        <w:iCs/>
        <w:sz w:val="20"/>
        <w:szCs w:val="20"/>
      </w:rPr>
      <w:t>-</w:t>
    </w:r>
    <w:r w:rsidR="002F575D">
      <w:rPr>
        <w:iCs/>
        <w:sz w:val="20"/>
        <w:szCs w:val="20"/>
      </w:rPr>
      <w:t>46</w:t>
    </w:r>
    <w:r w:rsidR="00AB76C1">
      <w:rPr>
        <w:iCs/>
        <w:sz w:val="20"/>
        <w:szCs w:val="20"/>
      </w:rPr>
      <w:t>, November</w:t>
    </w:r>
    <w:r w:rsidR="00AB76C1" w:rsidRPr="008905F0">
      <w:rPr>
        <w:b/>
        <w:iCs/>
        <w:sz w:val="20"/>
        <w:szCs w:val="20"/>
      </w:rPr>
      <w:t xml:space="preserve"> </w:t>
    </w:r>
    <w:r w:rsidRPr="008905F0">
      <w:rPr>
        <w:b/>
        <w:iCs/>
        <w:sz w:val="20"/>
        <w:szCs w:val="20"/>
      </w:rPr>
      <w:t>(201</w:t>
    </w:r>
    <w:r>
      <w:rPr>
        <w:b/>
        <w:iCs/>
        <w:sz w:val="20"/>
        <w:szCs w:val="20"/>
      </w:rPr>
      <w:t>2</w:t>
    </w:r>
    <w:r w:rsidRPr="008905F0">
      <w:rPr>
        <w:b/>
        <w:iCs/>
        <w:sz w:val="20"/>
        <w:szCs w:val="20"/>
      </w:rPr>
      <w:t>)</w:t>
    </w:r>
    <w:r>
      <w:rPr>
        <w:b/>
        <w:iCs/>
        <w:sz w:val="20"/>
        <w:szCs w:val="20"/>
      </w:rPr>
      <w:tab/>
    </w:r>
    <w:r>
      <w:rPr>
        <w:b/>
        <w:iCs/>
        <w:sz w:val="20"/>
        <w:szCs w:val="20"/>
      </w:rPr>
      <w:tab/>
    </w:r>
    <w:r>
      <w:rPr>
        <w:b/>
        <w:iCs/>
        <w:sz w:val="20"/>
        <w:szCs w:val="20"/>
      </w:rPr>
      <w:tab/>
    </w:r>
    <w:r>
      <w:rPr>
        <w:b/>
        <w:iCs/>
        <w:sz w:val="20"/>
        <w:szCs w:val="20"/>
      </w:rPr>
      <w:tab/>
    </w:r>
    <w:r>
      <w:rPr>
        <w:b/>
        <w:iCs/>
        <w:sz w:val="20"/>
        <w:szCs w:val="20"/>
      </w:rPr>
      <w:tab/>
    </w:r>
    <w:r>
      <w:rPr>
        <w:b/>
        <w:iCs/>
        <w:sz w:val="20"/>
        <w:szCs w:val="20"/>
      </w:rPr>
      <w:tab/>
    </w:r>
    <w:r>
      <w:rPr>
        <w:b/>
        <w:iCs/>
        <w:sz w:val="20"/>
        <w:szCs w:val="20"/>
      </w:rPr>
      <w:tab/>
      <w:t xml:space="preserve">          </w:t>
    </w:r>
    <w:r>
      <w:rPr>
        <w:b/>
        <w:iCs/>
        <w:sz w:val="20"/>
        <w:szCs w:val="20"/>
      </w:rPr>
      <w:tab/>
      <w:t xml:space="preserve">          </w:t>
    </w:r>
    <w:r>
      <w:rPr>
        <w:i/>
        <w:iCs/>
        <w:sz w:val="20"/>
        <w:szCs w:val="20"/>
      </w:rPr>
      <w:t>Res. J. Recent Sci.</w:t>
    </w:r>
  </w:p>
  <w:p w:rsidR="0093285A" w:rsidRDefault="0093285A" w:rsidP="005D78D7">
    <w:pPr>
      <w:pStyle w:val="Header"/>
      <w:tabs>
        <w:tab w:val="clear" w:pos="4680"/>
        <w:tab w:val="clear" w:pos="9360"/>
        <w:tab w:val="right" w:pos="10530"/>
      </w:tabs>
      <w:ind w:right="36"/>
    </w:pPr>
    <w:r>
      <w:rPr>
        <w:b/>
        <w:iCs/>
        <w:sz w:val="20"/>
        <w:szCs w:val="20"/>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85A" w:rsidRPr="0016533D" w:rsidRDefault="0093285A" w:rsidP="0088479D">
    <w:pPr>
      <w:autoSpaceDE w:val="0"/>
      <w:autoSpaceDN w:val="0"/>
      <w:adjustRightInd w:val="0"/>
      <w:ind w:left="1170" w:right="-9"/>
      <w:rPr>
        <w:i/>
        <w:iCs/>
        <w:sz w:val="20"/>
        <w:szCs w:val="20"/>
      </w:rPr>
    </w:pPr>
    <w:r w:rsidRPr="0016533D">
      <w:rPr>
        <w:i/>
        <w:iCs/>
        <w:sz w:val="20"/>
        <w:szCs w:val="20"/>
      </w:rPr>
      <w:t>Research Journal of Chemical Sciences</w:t>
    </w:r>
    <w:r w:rsidR="00FE5A31" w:rsidRPr="00FE5A31">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2pt;margin-top:-18.85pt;width:54.5pt;height:54.5pt;z-index:-251645952;mso-position-horizontal-relative:text;mso-position-vertical-relative:text" wrapcoords="-270 0 -270 21330 21600 21330 21600 0 -270 0">
          <v:imagedata r:id="rId1" o:title="Final Logo (GIF)"/>
          <w10:wrap type="through"/>
        </v:shape>
      </w:pict>
    </w:r>
    <w:r>
      <w:rPr>
        <w:i/>
        <w:iCs/>
        <w:sz w:val="20"/>
        <w:szCs w:val="20"/>
      </w:rPr>
      <w:t>_</w:t>
    </w:r>
    <w:r w:rsidRPr="0016533D">
      <w:rPr>
        <w:i/>
        <w:iCs/>
        <w:sz w:val="20"/>
        <w:szCs w:val="20"/>
      </w:rPr>
      <w:t>______________________________</w:t>
    </w:r>
    <w:r>
      <w:rPr>
        <w:i/>
        <w:iCs/>
        <w:sz w:val="20"/>
        <w:szCs w:val="20"/>
      </w:rPr>
      <w:t>______________</w:t>
    </w:r>
    <w:r w:rsidRPr="0016533D">
      <w:rPr>
        <w:i/>
        <w:iCs/>
        <w:sz w:val="20"/>
        <w:szCs w:val="20"/>
      </w:rPr>
      <w:t>_</w:t>
    </w:r>
    <w:r>
      <w:rPr>
        <w:i/>
        <w:iCs/>
        <w:sz w:val="20"/>
        <w:szCs w:val="20"/>
      </w:rPr>
      <w:t>_</w:t>
    </w:r>
    <w:r w:rsidRPr="0016533D">
      <w:rPr>
        <w:i/>
        <w:iCs/>
        <w:sz w:val="20"/>
        <w:szCs w:val="20"/>
      </w:rPr>
      <w:t xml:space="preserve">_ </w:t>
    </w:r>
    <w:r w:rsidRPr="0016533D">
      <w:rPr>
        <w:bCs/>
        <w:sz w:val="20"/>
        <w:szCs w:val="20"/>
        <w:lang w:eastAsia="en-IN"/>
      </w:rPr>
      <w:t>ISSN 2231-606X</w:t>
    </w:r>
    <w:r w:rsidRPr="0016533D">
      <w:rPr>
        <w:i/>
        <w:iCs/>
        <w:sz w:val="20"/>
        <w:szCs w:val="20"/>
      </w:rPr>
      <w:t xml:space="preserve"> </w:t>
    </w:r>
  </w:p>
  <w:p w:rsidR="0093285A" w:rsidRPr="0016533D" w:rsidRDefault="0093285A" w:rsidP="0088479D">
    <w:pPr>
      <w:pStyle w:val="Header"/>
      <w:tabs>
        <w:tab w:val="clear" w:pos="9360"/>
        <w:tab w:val="right" w:pos="10620"/>
      </w:tabs>
      <w:ind w:left="1170"/>
      <w:rPr>
        <w:sz w:val="20"/>
        <w:szCs w:val="20"/>
      </w:rPr>
    </w:pPr>
    <w:r w:rsidRPr="0016533D">
      <w:rPr>
        <w:iCs/>
        <w:sz w:val="20"/>
        <w:szCs w:val="20"/>
      </w:rPr>
      <w:t xml:space="preserve">Vol. </w:t>
    </w:r>
    <w:r w:rsidRPr="0016533D">
      <w:rPr>
        <w:b/>
        <w:iCs/>
        <w:sz w:val="20"/>
        <w:szCs w:val="20"/>
      </w:rPr>
      <w:t xml:space="preserve">1(5), </w:t>
    </w:r>
    <w:r w:rsidRPr="0016533D">
      <w:rPr>
        <w:iCs/>
        <w:sz w:val="20"/>
        <w:szCs w:val="20"/>
      </w:rPr>
      <w:t xml:space="preserve">1-7, Aug. </w:t>
    </w:r>
    <w:r w:rsidRPr="0016533D">
      <w:rPr>
        <w:b/>
        <w:iCs/>
        <w:sz w:val="20"/>
        <w:szCs w:val="20"/>
      </w:rPr>
      <w:t>(2011)</w:t>
    </w:r>
    <w:r>
      <w:rPr>
        <w:b/>
        <w:iCs/>
        <w:sz w:val="20"/>
        <w:szCs w:val="20"/>
      </w:rPr>
      <w:tab/>
    </w:r>
    <w:r>
      <w:rPr>
        <w:b/>
        <w:iCs/>
        <w:sz w:val="20"/>
        <w:szCs w:val="20"/>
      </w:rPr>
      <w:tab/>
    </w:r>
    <w:r w:rsidRPr="0016533D">
      <w:rPr>
        <w:i/>
        <w:iCs/>
        <w:sz w:val="20"/>
        <w:szCs w:val="20"/>
      </w:rPr>
      <w:t>Res.J.Chem.Sci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33F"/>
    <w:multiLevelType w:val="hybridMultilevel"/>
    <w:tmpl w:val="A10E2874"/>
    <w:lvl w:ilvl="0" w:tplc="69F42170">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0A72EE3"/>
    <w:multiLevelType w:val="hybridMultilevel"/>
    <w:tmpl w:val="65307AF8"/>
    <w:lvl w:ilvl="0" w:tplc="EC1A23E4">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13163CD"/>
    <w:multiLevelType w:val="hybridMultilevel"/>
    <w:tmpl w:val="02AE0476"/>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
    <w:nsid w:val="07BD0C30"/>
    <w:multiLevelType w:val="hybridMultilevel"/>
    <w:tmpl w:val="289C49E8"/>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4">
    <w:nsid w:val="0A895E85"/>
    <w:multiLevelType w:val="hybridMultilevel"/>
    <w:tmpl w:val="DF9ACA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18663FD0"/>
    <w:multiLevelType w:val="hybridMultilevel"/>
    <w:tmpl w:val="E690B758"/>
    <w:lvl w:ilvl="0" w:tplc="1DE660E0">
      <w:start w:val="1"/>
      <w:numFmt w:val="decimal"/>
      <w:lvlText w:val="%1."/>
      <w:lvlJc w:val="left"/>
      <w:pPr>
        <w:ind w:left="36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C7E4A60"/>
    <w:multiLevelType w:val="hybridMultilevel"/>
    <w:tmpl w:val="95684740"/>
    <w:lvl w:ilvl="0" w:tplc="C6A2E65E">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1D0627DE"/>
    <w:multiLevelType w:val="hybridMultilevel"/>
    <w:tmpl w:val="33C8E51C"/>
    <w:lvl w:ilvl="0" w:tplc="2424E748">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1D3411FD"/>
    <w:multiLevelType w:val="hybridMultilevel"/>
    <w:tmpl w:val="F3CEACC2"/>
    <w:lvl w:ilvl="0" w:tplc="1CF2BF40">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1DEB70B8"/>
    <w:multiLevelType w:val="hybridMultilevel"/>
    <w:tmpl w:val="BD6C782A"/>
    <w:lvl w:ilvl="0" w:tplc="500079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2DC001D"/>
    <w:multiLevelType w:val="hybridMultilevel"/>
    <w:tmpl w:val="618C9AF2"/>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11">
    <w:nsid w:val="232A28C7"/>
    <w:multiLevelType w:val="hybridMultilevel"/>
    <w:tmpl w:val="E8C8F954"/>
    <w:lvl w:ilvl="0" w:tplc="C3088472">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34FB4A09"/>
    <w:multiLevelType w:val="hybridMultilevel"/>
    <w:tmpl w:val="E9FA99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76B4CFE"/>
    <w:multiLevelType w:val="hybridMultilevel"/>
    <w:tmpl w:val="1232714A"/>
    <w:lvl w:ilvl="0" w:tplc="9D7400B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DB10D7"/>
    <w:multiLevelType w:val="hybridMultilevel"/>
    <w:tmpl w:val="BCDA9836"/>
    <w:lvl w:ilvl="0" w:tplc="FAEE3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1F085C"/>
    <w:multiLevelType w:val="hybridMultilevel"/>
    <w:tmpl w:val="AE740B10"/>
    <w:lvl w:ilvl="0" w:tplc="DA3CADFE">
      <w:start w:val="1"/>
      <w:numFmt w:val="decimal"/>
      <w:lvlText w:val="%1."/>
      <w:lvlJc w:val="left"/>
      <w:pPr>
        <w:ind w:left="928" w:hanging="360"/>
      </w:pPr>
      <w:rPr>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0026C1"/>
    <w:multiLevelType w:val="hybridMultilevel"/>
    <w:tmpl w:val="1EAE4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4CC31504"/>
    <w:multiLevelType w:val="hybridMultilevel"/>
    <w:tmpl w:val="97CA9DC0"/>
    <w:lvl w:ilvl="0" w:tplc="5692AB14">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nsid w:val="4E125DAA"/>
    <w:multiLevelType w:val="hybridMultilevel"/>
    <w:tmpl w:val="11180A9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F831950"/>
    <w:multiLevelType w:val="hybridMultilevel"/>
    <w:tmpl w:val="9F96D9AA"/>
    <w:lvl w:ilvl="0" w:tplc="D072213A">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0DA7C39"/>
    <w:multiLevelType w:val="hybridMultilevel"/>
    <w:tmpl w:val="7CA41368"/>
    <w:lvl w:ilvl="0" w:tplc="F5FA3EE0">
      <w:start w:val="1"/>
      <w:numFmt w:val="decimal"/>
      <w:lvlText w:val="%1."/>
      <w:lvlJc w:val="left"/>
      <w:pPr>
        <w:ind w:left="720" w:hanging="72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513A7771"/>
    <w:multiLevelType w:val="hybridMultilevel"/>
    <w:tmpl w:val="772AF118"/>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2">
    <w:nsid w:val="52024B7B"/>
    <w:multiLevelType w:val="hybridMultilevel"/>
    <w:tmpl w:val="0590BB90"/>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23">
    <w:nsid w:val="53D316F9"/>
    <w:multiLevelType w:val="hybridMultilevel"/>
    <w:tmpl w:val="4B905F8E"/>
    <w:lvl w:ilvl="0" w:tplc="1F1E26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572613"/>
    <w:multiLevelType w:val="hybridMultilevel"/>
    <w:tmpl w:val="C5641CEE"/>
    <w:lvl w:ilvl="0" w:tplc="AA089268">
      <w:start w:val="1"/>
      <w:numFmt w:val="decimal"/>
      <w:lvlText w:val="%1."/>
      <w:lvlJc w:val="left"/>
      <w:pPr>
        <w:ind w:left="720" w:hanging="360"/>
      </w:pPr>
      <w:rPr>
        <w:rFonts w:hint="default"/>
        <w:b w:val="0"/>
        <w:color w:val="auto"/>
        <w:sz w:val="20"/>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A70FC3E">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C72195"/>
    <w:multiLevelType w:val="hybridMultilevel"/>
    <w:tmpl w:val="11B48C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90E49A9"/>
    <w:multiLevelType w:val="hybridMultilevel"/>
    <w:tmpl w:val="BE58DA44"/>
    <w:lvl w:ilvl="0" w:tplc="F2AEC72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nsid w:val="5A2461E3"/>
    <w:multiLevelType w:val="hybridMultilevel"/>
    <w:tmpl w:val="EF869FBA"/>
    <w:lvl w:ilvl="0" w:tplc="2F4491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B3A1AD8"/>
    <w:multiLevelType w:val="hybridMultilevel"/>
    <w:tmpl w:val="8E6EA3CC"/>
    <w:lvl w:ilvl="0" w:tplc="B73E6762">
      <w:numFmt w:val="bullet"/>
      <w:lvlText w:val="-"/>
      <w:lvlJc w:val="left"/>
      <w:pPr>
        <w:ind w:left="717" w:hanging="360"/>
      </w:pPr>
      <w:rPr>
        <w:rFonts w:ascii="Times New Roman" w:eastAsia="Times New Roman" w:hAnsi="Times New Roman" w:hint="default"/>
      </w:rPr>
    </w:lvl>
    <w:lvl w:ilvl="1" w:tplc="04210003">
      <w:start w:val="1"/>
      <w:numFmt w:val="bullet"/>
      <w:lvlText w:val="o"/>
      <w:lvlJc w:val="left"/>
      <w:pPr>
        <w:ind w:left="1437" w:hanging="360"/>
      </w:pPr>
      <w:rPr>
        <w:rFonts w:ascii="Courier New" w:hAnsi="Courier New" w:hint="default"/>
      </w:rPr>
    </w:lvl>
    <w:lvl w:ilvl="2" w:tplc="04210005">
      <w:start w:val="1"/>
      <w:numFmt w:val="bullet"/>
      <w:lvlText w:val=""/>
      <w:lvlJc w:val="left"/>
      <w:pPr>
        <w:ind w:left="2157" w:hanging="360"/>
      </w:pPr>
      <w:rPr>
        <w:rFonts w:ascii="Wingdings" w:hAnsi="Wingdings" w:hint="default"/>
      </w:rPr>
    </w:lvl>
    <w:lvl w:ilvl="3" w:tplc="04210001">
      <w:start w:val="1"/>
      <w:numFmt w:val="bullet"/>
      <w:lvlText w:val=""/>
      <w:lvlJc w:val="left"/>
      <w:pPr>
        <w:ind w:left="2877" w:hanging="360"/>
      </w:pPr>
      <w:rPr>
        <w:rFonts w:ascii="Symbol" w:hAnsi="Symbol" w:hint="default"/>
      </w:rPr>
    </w:lvl>
    <w:lvl w:ilvl="4" w:tplc="04210003">
      <w:start w:val="1"/>
      <w:numFmt w:val="bullet"/>
      <w:lvlText w:val="o"/>
      <w:lvlJc w:val="left"/>
      <w:pPr>
        <w:ind w:left="3597" w:hanging="360"/>
      </w:pPr>
      <w:rPr>
        <w:rFonts w:ascii="Courier New" w:hAnsi="Courier New" w:hint="default"/>
      </w:rPr>
    </w:lvl>
    <w:lvl w:ilvl="5" w:tplc="04210005">
      <w:start w:val="1"/>
      <w:numFmt w:val="bullet"/>
      <w:lvlText w:val=""/>
      <w:lvlJc w:val="left"/>
      <w:pPr>
        <w:ind w:left="4317" w:hanging="360"/>
      </w:pPr>
      <w:rPr>
        <w:rFonts w:ascii="Wingdings" w:hAnsi="Wingdings" w:hint="default"/>
      </w:rPr>
    </w:lvl>
    <w:lvl w:ilvl="6" w:tplc="04210001">
      <w:start w:val="1"/>
      <w:numFmt w:val="bullet"/>
      <w:lvlText w:val=""/>
      <w:lvlJc w:val="left"/>
      <w:pPr>
        <w:ind w:left="5037" w:hanging="360"/>
      </w:pPr>
      <w:rPr>
        <w:rFonts w:ascii="Symbol" w:hAnsi="Symbol" w:hint="default"/>
      </w:rPr>
    </w:lvl>
    <w:lvl w:ilvl="7" w:tplc="04210003">
      <w:start w:val="1"/>
      <w:numFmt w:val="bullet"/>
      <w:lvlText w:val="o"/>
      <w:lvlJc w:val="left"/>
      <w:pPr>
        <w:ind w:left="5757" w:hanging="360"/>
      </w:pPr>
      <w:rPr>
        <w:rFonts w:ascii="Courier New" w:hAnsi="Courier New" w:hint="default"/>
      </w:rPr>
    </w:lvl>
    <w:lvl w:ilvl="8" w:tplc="04210005">
      <w:start w:val="1"/>
      <w:numFmt w:val="bullet"/>
      <w:lvlText w:val=""/>
      <w:lvlJc w:val="left"/>
      <w:pPr>
        <w:ind w:left="6477" w:hanging="360"/>
      </w:pPr>
      <w:rPr>
        <w:rFonts w:ascii="Wingdings" w:hAnsi="Wingdings" w:hint="default"/>
      </w:rPr>
    </w:lvl>
  </w:abstractNum>
  <w:abstractNum w:abstractNumId="29">
    <w:nsid w:val="5D8449DC"/>
    <w:multiLevelType w:val="hybridMultilevel"/>
    <w:tmpl w:val="8974C246"/>
    <w:lvl w:ilvl="0" w:tplc="40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D874F31"/>
    <w:multiLevelType w:val="hybridMultilevel"/>
    <w:tmpl w:val="4AF2AA68"/>
    <w:lvl w:ilvl="0" w:tplc="F16C3E06">
      <w:start w:val="1"/>
      <w:numFmt w:val="decimal"/>
      <w:lvlText w:val="%1."/>
      <w:lvlJc w:val="left"/>
      <w:pPr>
        <w:ind w:left="360" w:hanging="360"/>
      </w:pPr>
      <w:rPr>
        <w:b w:val="0"/>
        <w:i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F161875"/>
    <w:multiLevelType w:val="hybridMultilevel"/>
    <w:tmpl w:val="B85AD07E"/>
    <w:lvl w:ilvl="0" w:tplc="906AD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3DB0DDB"/>
    <w:multiLevelType w:val="hybridMultilevel"/>
    <w:tmpl w:val="55E6F282"/>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33">
    <w:nsid w:val="65A70446"/>
    <w:multiLevelType w:val="hybridMultilevel"/>
    <w:tmpl w:val="2FD4642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4">
    <w:nsid w:val="66A066B7"/>
    <w:multiLevelType w:val="hybridMultilevel"/>
    <w:tmpl w:val="FBA8E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F103AB"/>
    <w:multiLevelType w:val="hybridMultilevel"/>
    <w:tmpl w:val="BC767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D39048F"/>
    <w:multiLevelType w:val="hybridMultilevel"/>
    <w:tmpl w:val="9A5E6CF0"/>
    <w:lvl w:ilvl="0" w:tplc="9DAC5CC4">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
    <w:nsid w:val="6F0D0325"/>
    <w:multiLevelType w:val="hybridMultilevel"/>
    <w:tmpl w:val="7BB8C0F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8">
    <w:nsid w:val="704268A0"/>
    <w:multiLevelType w:val="hybridMultilevel"/>
    <w:tmpl w:val="3B685FB6"/>
    <w:lvl w:ilvl="0" w:tplc="5166162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9116590"/>
    <w:multiLevelType w:val="hybridMultilevel"/>
    <w:tmpl w:val="31BAF296"/>
    <w:lvl w:ilvl="0" w:tplc="12024C0C">
      <w:start w:val="1"/>
      <w:numFmt w:val="decimal"/>
      <w:lvlText w:val="%1."/>
      <w:lvlJc w:val="left"/>
      <w:pPr>
        <w:ind w:left="360" w:hanging="360"/>
      </w:pPr>
      <w:rPr>
        <w:rFonts w:ascii="Times New Roman" w:eastAsia="SimSu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1C2D13"/>
    <w:multiLevelType w:val="hybridMultilevel"/>
    <w:tmpl w:val="36AE394C"/>
    <w:lvl w:ilvl="0" w:tplc="96EEBC9C">
      <w:start w:val="1"/>
      <w:numFmt w:val="decimal"/>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7F443319"/>
    <w:multiLevelType w:val="hybridMultilevel"/>
    <w:tmpl w:val="5FD8612E"/>
    <w:lvl w:ilvl="0" w:tplc="99D62BE6">
      <w:numFmt w:val="bullet"/>
      <w:lvlText w:val="-"/>
      <w:lvlJc w:val="left"/>
      <w:pPr>
        <w:ind w:left="1482" w:hanging="360"/>
      </w:pPr>
      <w:rPr>
        <w:rFonts w:ascii="Times New Roman" w:eastAsia="Times New Roman" w:hAnsi="Times New Roman" w:hint="default"/>
      </w:rPr>
    </w:lvl>
    <w:lvl w:ilvl="1" w:tplc="04210003">
      <w:start w:val="1"/>
      <w:numFmt w:val="bullet"/>
      <w:lvlText w:val="o"/>
      <w:lvlJc w:val="left"/>
      <w:pPr>
        <w:ind w:left="2202" w:hanging="360"/>
      </w:pPr>
      <w:rPr>
        <w:rFonts w:ascii="Courier New" w:hAnsi="Courier New" w:hint="default"/>
      </w:rPr>
    </w:lvl>
    <w:lvl w:ilvl="2" w:tplc="04210005">
      <w:start w:val="1"/>
      <w:numFmt w:val="bullet"/>
      <w:lvlText w:val=""/>
      <w:lvlJc w:val="left"/>
      <w:pPr>
        <w:ind w:left="2922" w:hanging="360"/>
      </w:pPr>
      <w:rPr>
        <w:rFonts w:ascii="Wingdings" w:hAnsi="Wingdings" w:hint="default"/>
      </w:rPr>
    </w:lvl>
    <w:lvl w:ilvl="3" w:tplc="04210001">
      <w:start w:val="1"/>
      <w:numFmt w:val="bullet"/>
      <w:lvlText w:val=""/>
      <w:lvlJc w:val="left"/>
      <w:pPr>
        <w:ind w:left="3642" w:hanging="360"/>
      </w:pPr>
      <w:rPr>
        <w:rFonts w:ascii="Symbol" w:hAnsi="Symbol" w:hint="default"/>
      </w:rPr>
    </w:lvl>
    <w:lvl w:ilvl="4" w:tplc="04210003">
      <w:start w:val="1"/>
      <w:numFmt w:val="bullet"/>
      <w:lvlText w:val="o"/>
      <w:lvlJc w:val="left"/>
      <w:pPr>
        <w:ind w:left="4362" w:hanging="360"/>
      </w:pPr>
      <w:rPr>
        <w:rFonts w:ascii="Courier New" w:hAnsi="Courier New" w:hint="default"/>
      </w:rPr>
    </w:lvl>
    <w:lvl w:ilvl="5" w:tplc="04210005">
      <w:start w:val="1"/>
      <w:numFmt w:val="bullet"/>
      <w:lvlText w:val=""/>
      <w:lvlJc w:val="left"/>
      <w:pPr>
        <w:ind w:left="5082" w:hanging="360"/>
      </w:pPr>
      <w:rPr>
        <w:rFonts w:ascii="Wingdings" w:hAnsi="Wingdings" w:hint="default"/>
      </w:rPr>
    </w:lvl>
    <w:lvl w:ilvl="6" w:tplc="04210001">
      <w:start w:val="1"/>
      <w:numFmt w:val="bullet"/>
      <w:lvlText w:val=""/>
      <w:lvlJc w:val="left"/>
      <w:pPr>
        <w:ind w:left="5802" w:hanging="360"/>
      </w:pPr>
      <w:rPr>
        <w:rFonts w:ascii="Symbol" w:hAnsi="Symbol" w:hint="default"/>
      </w:rPr>
    </w:lvl>
    <w:lvl w:ilvl="7" w:tplc="04210003">
      <w:start w:val="1"/>
      <w:numFmt w:val="bullet"/>
      <w:lvlText w:val="o"/>
      <w:lvlJc w:val="left"/>
      <w:pPr>
        <w:ind w:left="6522" w:hanging="360"/>
      </w:pPr>
      <w:rPr>
        <w:rFonts w:ascii="Courier New" w:hAnsi="Courier New" w:hint="default"/>
      </w:rPr>
    </w:lvl>
    <w:lvl w:ilvl="8" w:tplc="04210005">
      <w:start w:val="1"/>
      <w:numFmt w:val="bullet"/>
      <w:lvlText w:val=""/>
      <w:lvlJc w:val="left"/>
      <w:pPr>
        <w:ind w:left="7242" w:hanging="360"/>
      </w:pPr>
      <w:rPr>
        <w:rFonts w:ascii="Wingdings" w:hAnsi="Wingdings" w:hint="default"/>
      </w:rPr>
    </w:lvl>
  </w:abstractNum>
  <w:num w:numId="1">
    <w:abstractNumId w:val="39"/>
  </w:num>
  <w:num w:numId="2">
    <w:abstractNumId w:val="16"/>
  </w:num>
  <w:num w:numId="3">
    <w:abstractNumId w:val="32"/>
  </w:num>
  <w:num w:numId="4">
    <w:abstractNumId w:val="10"/>
  </w:num>
  <w:num w:numId="5">
    <w:abstractNumId w:val="22"/>
  </w:num>
  <w:num w:numId="6">
    <w:abstractNumId w:val="12"/>
  </w:num>
  <w:num w:numId="7">
    <w:abstractNumId w:val="18"/>
  </w:num>
  <w:num w:numId="8">
    <w:abstractNumId w:val="35"/>
  </w:num>
  <w:num w:numId="9">
    <w:abstractNumId w:val="2"/>
  </w:num>
  <w:num w:numId="10">
    <w:abstractNumId w:val="3"/>
  </w:num>
  <w:num w:numId="11">
    <w:abstractNumId w:val="28"/>
  </w:num>
  <w:num w:numId="12">
    <w:abstractNumId w:val="41"/>
  </w:num>
  <w:num w:numId="13">
    <w:abstractNumId w:val="21"/>
  </w:num>
  <w:num w:numId="14">
    <w:abstractNumId w:val="0"/>
  </w:num>
  <w:num w:numId="15">
    <w:abstractNumId w:val="20"/>
  </w:num>
  <w:num w:numId="16">
    <w:abstractNumId w:val="36"/>
  </w:num>
  <w:num w:numId="17">
    <w:abstractNumId w:val="7"/>
  </w:num>
  <w:num w:numId="18">
    <w:abstractNumId w:val="6"/>
  </w:num>
  <w:num w:numId="19">
    <w:abstractNumId w:val="30"/>
  </w:num>
  <w:num w:numId="20">
    <w:abstractNumId w:val="13"/>
  </w:num>
  <w:num w:numId="21">
    <w:abstractNumId w:val="27"/>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8"/>
  </w:num>
  <w:num w:numId="25">
    <w:abstractNumId w:val="31"/>
  </w:num>
  <w:num w:numId="26">
    <w:abstractNumId w:val="5"/>
  </w:num>
  <w:num w:numId="27">
    <w:abstractNumId w:val="15"/>
  </w:num>
  <w:num w:numId="28">
    <w:abstractNumId w:val="23"/>
  </w:num>
  <w:num w:numId="29">
    <w:abstractNumId w:val="26"/>
  </w:num>
  <w:num w:numId="30">
    <w:abstractNumId w:val="19"/>
  </w:num>
  <w:num w:numId="31">
    <w:abstractNumId w:val="34"/>
  </w:num>
  <w:num w:numId="32">
    <w:abstractNumId w:val="25"/>
  </w:num>
  <w:num w:numId="33">
    <w:abstractNumId w:val="4"/>
  </w:num>
  <w:num w:numId="34">
    <w:abstractNumId w:val="24"/>
  </w:num>
  <w:num w:numId="35">
    <w:abstractNumId w:val="33"/>
  </w:num>
  <w:num w:numId="36">
    <w:abstractNumId w:val="9"/>
  </w:num>
  <w:num w:numId="37">
    <w:abstractNumId w:val="1"/>
  </w:num>
  <w:num w:numId="38">
    <w:abstractNumId w:val="11"/>
  </w:num>
  <w:num w:numId="39">
    <w:abstractNumId w:val="38"/>
  </w:num>
  <w:num w:numId="40">
    <w:abstractNumId w:val="17"/>
  </w:num>
  <w:num w:numId="41">
    <w:abstractNumId w:val="40"/>
  </w:num>
  <w:num w:numId="42">
    <w:abstractNumId w:val="2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rawingGridVerticalSpacing w:val="187"/>
  <w:displayHorizontalDrawingGridEvery w:val="2"/>
  <w:characterSpacingControl w:val="doNotCompress"/>
  <w:hdrShapeDefaults>
    <o:shapedefaults v:ext="edit" spidmax="2073">
      <o:colormenu v:ext="edit" fillcolor="none [3212]" strokecolor="none"/>
    </o:shapedefaults>
    <o:shapelayout v:ext="edit">
      <o:idmap v:ext="edit" data="2"/>
    </o:shapelayout>
  </w:hdrShapeDefaults>
  <w:footnotePr>
    <w:footnote w:id="-1"/>
    <w:footnote w:id="0"/>
  </w:footnotePr>
  <w:endnotePr>
    <w:endnote w:id="-1"/>
    <w:endnote w:id="0"/>
  </w:endnotePr>
  <w:compat/>
  <w:rsids>
    <w:rsidRoot w:val="0012594F"/>
    <w:rsid w:val="00000EBA"/>
    <w:rsid w:val="00001709"/>
    <w:rsid w:val="00002C2F"/>
    <w:rsid w:val="00005889"/>
    <w:rsid w:val="00006209"/>
    <w:rsid w:val="00012F0A"/>
    <w:rsid w:val="000208B2"/>
    <w:rsid w:val="000217F2"/>
    <w:rsid w:val="00022850"/>
    <w:rsid w:val="00022D8A"/>
    <w:rsid w:val="00022E71"/>
    <w:rsid w:val="00022EE8"/>
    <w:rsid w:val="00024907"/>
    <w:rsid w:val="000312A6"/>
    <w:rsid w:val="000313F4"/>
    <w:rsid w:val="000343CA"/>
    <w:rsid w:val="0003647C"/>
    <w:rsid w:val="0003792E"/>
    <w:rsid w:val="00047A1E"/>
    <w:rsid w:val="00047AD8"/>
    <w:rsid w:val="00050D95"/>
    <w:rsid w:val="00051583"/>
    <w:rsid w:val="00054B90"/>
    <w:rsid w:val="000561C9"/>
    <w:rsid w:val="000563D3"/>
    <w:rsid w:val="00056F0B"/>
    <w:rsid w:val="000614A1"/>
    <w:rsid w:val="00061A20"/>
    <w:rsid w:val="00062183"/>
    <w:rsid w:val="00062207"/>
    <w:rsid w:val="0006374C"/>
    <w:rsid w:val="0006418B"/>
    <w:rsid w:val="00064F25"/>
    <w:rsid w:val="00065005"/>
    <w:rsid w:val="000705C9"/>
    <w:rsid w:val="00070737"/>
    <w:rsid w:val="00074FA3"/>
    <w:rsid w:val="00075031"/>
    <w:rsid w:val="0007571B"/>
    <w:rsid w:val="00076B10"/>
    <w:rsid w:val="000816E5"/>
    <w:rsid w:val="00081C0F"/>
    <w:rsid w:val="00083064"/>
    <w:rsid w:val="0008470B"/>
    <w:rsid w:val="00086AEB"/>
    <w:rsid w:val="00095CEC"/>
    <w:rsid w:val="00095D53"/>
    <w:rsid w:val="000A1AC2"/>
    <w:rsid w:val="000A1B7C"/>
    <w:rsid w:val="000A26C6"/>
    <w:rsid w:val="000A4D14"/>
    <w:rsid w:val="000A5B11"/>
    <w:rsid w:val="000A67B7"/>
    <w:rsid w:val="000A6EF0"/>
    <w:rsid w:val="000A70C4"/>
    <w:rsid w:val="000B0415"/>
    <w:rsid w:val="000B66F9"/>
    <w:rsid w:val="000C2AC2"/>
    <w:rsid w:val="000C2CB4"/>
    <w:rsid w:val="000C2F89"/>
    <w:rsid w:val="000C37B7"/>
    <w:rsid w:val="000C3847"/>
    <w:rsid w:val="000C59AD"/>
    <w:rsid w:val="000C67AF"/>
    <w:rsid w:val="000C6F5C"/>
    <w:rsid w:val="000D0091"/>
    <w:rsid w:val="000D0FD7"/>
    <w:rsid w:val="000D7A7D"/>
    <w:rsid w:val="000E7B2E"/>
    <w:rsid w:val="000F2F97"/>
    <w:rsid w:val="000F43E1"/>
    <w:rsid w:val="000F6A89"/>
    <w:rsid w:val="00101DF0"/>
    <w:rsid w:val="00102298"/>
    <w:rsid w:val="00103FE5"/>
    <w:rsid w:val="00105341"/>
    <w:rsid w:val="001151B2"/>
    <w:rsid w:val="00116A24"/>
    <w:rsid w:val="00116ED2"/>
    <w:rsid w:val="001175F0"/>
    <w:rsid w:val="0012456C"/>
    <w:rsid w:val="0012477C"/>
    <w:rsid w:val="001254D7"/>
    <w:rsid w:val="0012594F"/>
    <w:rsid w:val="00126F17"/>
    <w:rsid w:val="00130261"/>
    <w:rsid w:val="0013390D"/>
    <w:rsid w:val="0013439B"/>
    <w:rsid w:val="001410AD"/>
    <w:rsid w:val="0014174C"/>
    <w:rsid w:val="00143B1C"/>
    <w:rsid w:val="0014552C"/>
    <w:rsid w:val="00145C4E"/>
    <w:rsid w:val="00147493"/>
    <w:rsid w:val="001476C8"/>
    <w:rsid w:val="001513A8"/>
    <w:rsid w:val="0015343D"/>
    <w:rsid w:val="001556AB"/>
    <w:rsid w:val="00157091"/>
    <w:rsid w:val="001575EE"/>
    <w:rsid w:val="00161445"/>
    <w:rsid w:val="00161745"/>
    <w:rsid w:val="00162C7B"/>
    <w:rsid w:val="00165DCD"/>
    <w:rsid w:val="00171245"/>
    <w:rsid w:val="00171473"/>
    <w:rsid w:val="001748B5"/>
    <w:rsid w:val="00175913"/>
    <w:rsid w:val="00176721"/>
    <w:rsid w:val="001805F9"/>
    <w:rsid w:val="00182D8C"/>
    <w:rsid w:val="00183826"/>
    <w:rsid w:val="00185F01"/>
    <w:rsid w:val="001906D8"/>
    <w:rsid w:val="0019523B"/>
    <w:rsid w:val="00195F1F"/>
    <w:rsid w:val="0019603F"/>
    <w:rsid w:val="00197FD0"/>
    <w:rsid w:val="001A0732"/>
    <w:rsid w:val="001A285D"/>
    <w:rsid w:val="001A3B6D"/>
    <w:rsid w:val="001A4B37"/>
    <w:rsid w:val="001A501D"/>
    <w:rsid w:val="001B096A"/>
    <w:rsid w:val="001B117A"/>
    <w:rsid w:val="001B1411"/>
    <w:rsid w:val="001B141F"/>
    <w:rsid w:val="001B2F1C"/>
    <w:rsid w:val="001B4690"/>
    <w:rsid w:val="001B6AAC"/>
    <w:rsid w:val="001B7822"/>
    <w:rsid w:val="001C2AD0"/>
    <w:rsid w:val="001C4AA5"/>
    <w:rsid w:val="001D07F8"/>
    <w:rsid w:val="001D2600"/>
    <w:rsid w:val="001D6CA0"/>
    <w:rsid w:val="001D70F0"/>
    <w:rsid w:val="001E046F"/>
    <w:rsid w:val="001E0B9C"/>
    <w:rsid w:val="001E0C73"/>
    <w:rsid w:val="001E18C7"/>
    <w:rsid w:val="001E5C99"/>
    <w:rsid w:val="001E78B1"/>
    <w:rsid w:val="001F0219"/>
    <w:rsid w:val="001F3977"/>
    <w:rsid w:val="00207062"/>
    <w:rsid w:val="00207AC8"/>
    <w:rsid w:val="00211F2C"/>
    <w:rsid w:val="00212FEE"/>
    <w:rsid w:val="0021465B"/>
    <w:rsid w:val="00216AFF"/>
    <w:rsid w:val="00224B9C"/>
    <w:rsid w:val="00230B0A"/>
    <w:rsid w:val="00231EFF"/>
    <w:rsid w:val="0023302D"/>
    <w:rsid w:val="00233F44"/>
    <w:rsid w:val="00235304"/>
    <w:rsid w:val="00235C71"/>
    <w:rsid w:val="00236C85"/>
    <w:rsid w:val="0023745F"/>
    <w:rsid w:val="00242895"/>
    <w:rsid w:val="00250E88"/>
    <w:rsid w:val="0025117D"/>
    <w:rsid w:val="002521D1"/>
    <w:rsid w:val="00253062"/>
    <w:rsid w:val="00255EDD"/>
    <w:rsid w:val="00256152"/>
    <w:rsid w:val="00260936"/>
    <w:rsid w:val="002626DF"/>
    <w:rsid w:val="002651B1"/>
    <w:rsid w:val="00265855"/>
    <w:rsid w:val="00267F00"/>
    <w:rsid w:val="002702C3"/>
    <w:rsid w:val="00270DA0"/>
    <w:rsid w:val="00270EFB"/>
    <w:rsid w:val="00271094"/>
    <w:rsid w:val="002729EF"/>
    <w:rsid w:val="00273036"/>
    <w:rsid w:val="00274A24"/>
    <w:rsid w:val="002754AD"/>
    <w:rsid w:val="00276911"/>
    <w:rsid w:val="00281149"/>
    <w:rsid w:val="00281A46"/>
    <w:rsid w:val="00282D9A"/>
    <w:rsid w:val="002836B1"/>
    <w:rsid w:val="00285046"/>
    <w:rsid w:val="00291CF6"/>
    <w:rsid w:val="002924EC"/>
    <w:rsid w:val="00292A41"/>
    <w:rsid w:val="00293ABA"/>
    <w:rsid w:val="00293D31"/>
    <w:rsid w:val="00294753"/>
    <w:rsid w:val="00296E80"/>
    <w:rsid w:val="002A2953"/>
    <w:rsid w:val="002A2B0A"/>
    <w:rsid w:val="002A5BAE"/>
    <w:rsid w:val="002A5FE0"/>
    <w:rsid w:val="002A65B0"/>
    <w:rsid w:val="002B1C30"/>
    <w:rsid w:val="002B22CE"/>
    <w:rsid w:val="002B3753"/>
    <w:rsid w:val="002B3AA4"/>
    <w:rsid w:val="002B448F"/>
    <w:rsid w:val="002B646B"/>
    <w:rsid w:val="002B67E0"/>
    <w:rsid w:val="002B68D0"/>
    <w:rsid w:val="002C01BC"/>
    <w:rsid w:val="002C023F"/>
    <w:rsid w:val="002C1C02"/>
    <w:rsid w:val="002C30F2"/>
    <w:rsid w:val="002C497E"/>
    <w:rsid w:val="002C4D85"/>
    <w:rsid w:val="002C634C"/>
    <w:rsid w:val="002C7882"/>
    <w:rsid w:val="002C78AF"/>
    <w:rsid w:val="002D028C"/>
    <w:rsid w:val="002D2687"/>
    <w:rsid w:val="002D2C8A"/>
    <w:rsid w:val="002D318D"/>
    <w:rsid w:val="002D4C93"/>
    <w:rsid w:val="002D56E9"/>
    <w:rsid w:val="002D6971"/>
    <w:rsid w:val="002E1050"/>
    <w:rsid w:val="002E11D0"/>
    <w:rsid w:val="002E1D6B"/>
    <w:rsid w:val="002E2649"/>
    <w:rsid w:val="002E2F62"/>
    <w:rsid w:val="002E4471"/>
    <w:rsid w:val="002E7CBA"/>
    <w:rsid w:val="002F1E21"/>
    <w:rsid w:val="002F1E45"/>
    <w:rsid w:val="002F24B2"/>
    <w:rsid w:val="002F4179"/>
    <w:rsid w:val="002F575D"/>
    <w:rsid w:val="002F7AC7"/>
    <w:rsid w:val="002F7E71"/>
    <w:rsid w:val="0030105B"/>
    <w:rsid w:val="00301617"/>
    <w:rsid w:val="00303423"/>
    <w:rsid w:val="00303513"/>
    <w:rsid w:val="003062E4"/>
    <w:rsid w:val="00306B77"/>
    <w:rsid w:val="00311F54"/>
    <w:rsid w:val="00312582"/>
    <w:rsid w:val="0031328D"/>
    <w:rsid w:val="00315060"/>
    <w:rsid w:val="00316759"/>
    <w:rsid w:val="00317A8E"/>
    <w:rsid w:val="00320814"/>
    <w:rsid w:val="00327340"/>
    <w:rsid w:val="0032766A"/>
    <w:rsid w:val="00333437"/>
    <w:rsid w:val="00333DE3"/>
    <w:rsid w:val="003362C9"/>
    <w:rsid w:val="00336C3F"/>
    <w:rsid w:val="00342570"/>
    <w:rsid w:val="00344C73"/>
    <w:rsid w:val="003461A6"/>
    <w:rsid w:val="003500BF"/>
    <w:rsid w:val="0035168D"/>
    <w:rsid w:val="00351C93"/>
    <w:rsid w:val="00352F7F"/>
    <w:rsid w:val="00353068"/>
    <w:rsid w:val="003571E8"/>
    <w:rsid w:val="003608A5"/>
    <w:rsid w:val="00363237"/>
    <w:rsid w:val="00364193"/>
    <w:rsid w:val="00376986"/>
    <w:rsid w:val="00380B76"/>
    <w:rsid w:val="003819A7"/>
    <w:rsid w:val="00381A3C"/>
    <w:rsid w:val="0038465A"/>
    <w:rsid w:val="00384F15"/>
    <w:rsid w:val="003856C3"/>
    <w:rsid w:val="00385FCA"/>
    <w:rsid w:val="00386C24"/>
    <w:rsid w:val="00387854"/>
    <w:rsid w:val="00390199"/>
    <w:rsid w:val="0039253D"/>
    <w:rsid w:val="00392AEF"/>
    <w:rsid w:val="003962A7"/>
    <w:rsid w:val="003A09C0"/>
    <w:rsid w:val="003A0C41"/>
    <w:rsid w:val="003A35D7"/>
    <w:rsid w:val="003A5939"/>
    <w:rsid w:val="003A65AB"/>
    <w:rsid w:val="003A750D"/>
    <w:rsid w:val="003A760F"/>
    <w:rsid w:val="003B29B6"/>
    <w:rsid w:val="003B4AAF"/>
    <w:rsid w:val="003B5EE8"/>
    <w:rsid w:val="003B6B06"/>
    <w:rsid w:val="003B6F39"/>
    <w:rsid w:val="003B70AD"/>
    <w:rsid w:val="003B77CC"/>
    <w:rsid w:val="003C36E4"/>
    <w:rsid w:val="003C57A0"/>
    <w:rsid w:val="003C5B0D"/>
    <w:rsid w:val="003D0272"/>
    <w:rsid w:val="003D5261"/>
    <w:rsid w:val="003D631D"/>
    <w:rsid w:val="003D7BB1"/>
    <w:rsid w:val="003E38E3"/>
    <w:rsid w:val="003E4EBB"/>
    <w:rsid w:val="003E6DD9"/>
    <w:rsid w:val="003E6F0C"/>
    <w:rsid w:val="003F025D"/>
    <w:rsid w:val="003F0B5E"/>
    <w:rsid w:val="003F2B93"/>
    <w:rsid w:val="003F3796"/>
    <w:rsid w:val="003F41FF"/>
    <w:rsid w:val="003F605D"/>
    <w:rsid w:val="003F66DB"/>
    <w:rsid w:val="00401751"/>
    <w:rsid w:val="00401D33"/>
    <w:rsid w:val="00401EFC"/>
    <w:rsid w:val="0040211C"/>
    <w:rsid w:val="00403B2D"/>
    <w:rsid w:val="004055A8"/>
    <w:rsid w:val="00405649"/>
    <w:rsid w:val="004064D3"/>
    <w:rsid w:val="0041475F"/>
    <w:rsid w:val="00415767"/>
    <w:rsid w:val="0041728A"/>
    <w:rsid w:val="0042244C"/>
    <w:rsid w:val="004237F2"/>
    <w:rsid w:val="0042443E"/>
    <w:rsid w:val="00424B03"/>
    <w:rsid w:val="0042721B"/>
    <w:rsid w:val="00430366"/>
    <w:rsid w:val="004304E6"/>
    <w:rsid w:val="004332BD"/>
    <w:rsid w:val="00436BC6"/>
    <w:rsid w:val="00436E3F"/>
    <w:rsid w:val="00437200"/>
    <w:rsid w:val="0044172D"/>
    <w:rsid w:val="0044640C"/>
    <w:rsid w:val="00446EF9"/>
    <w:rsid w:val="00450BAB"/>
    <w:rsid w:val="004517BD"/>
    <w:rsid w:val="00452B42"/>
    <w:rsid w:val="0045377F"/>
    <w:rsid w:val="00456DDA"/>
    <w:rsid w:val="00456F10"/>
    <w:rsid w:val="00466FB5"/>
    <w:rsid w:val="00470952"/>
    <w:rsid w:val="0047153F"/>
    <w:rsid w:val="00474FCA"/>
    <w:rsid w:val="00475614"/>
    <w:rsid w:val="004776E3"/>
    <w:rsid w:val="00480F19"/>
    <w:rsid w:val="00482706"/>
    <w:rsid w:val="00484AF2"/>
    <w:rsid w:val="00484DFF"/>
    <w:rsid w:val="00485AE7"/>
    <w:rsid w:val="00486227"/>
    <w:rsid w:val="00487C47"/>
    <w:rsid w:val="00487EAE"/>
    <w:rsid w:val="00490BC0"/>
    <w:rsid w:val="00491D6F"/>
    <w:rsid w:val="004A2880"/>
    <w:rsid w:val="004A7DCD"/>
    <w:rsid w:val="004B1592"/>
    <w:rsid w:val="004B27E7"/>
    <w:rsid w:val="004B5104"/>
    <w:rsid w:val="004B5433"/>
    <w:rsid w:val="004C1314"/>
    <w:rsid w:val="004C2D55"/>
    <w:rsid w:val="004C48CB"/>
    <w:rsid w:val="004C4EFD"/>
    <w:rsid w:val="004C7255"/>
    <w:rsid w:val="004C7764"/>
    <w:rsid w:val="004D0CE2"/>
    <w:rsid w:val="004D0F44"/>
    <w:rsid w:val="004D1BAB"/>
    <w:rsid w:val="004D2164"/>
    <w:rsid w:val="004D3CFB"/>
    <w:rsid w:val="004D3DD4"/>
    <w:rsid w:val="004D66D9"/>
    <w:rsid w:val="004E0432"/>
    <w:rsid w:val="004E3EDD"/>
    <w:rsid w:val="004F19FA"/>
    <w:rsid w:val="004F73C4"/>
    <w:rsid w:val="00501D8E"/>
    <w:rsid w:val="00505812"/>
    <w:rsid w:val="00505DD6"/>
    <w:rsid w:val="00506100"/>
    <w:rsid w:val="00512CB8"/>
    <w:rsid w:val="005172B2"/>
    <w:rsid w:val="00517A2F"/>
    <w:rsid w:val="00521176"/>
    <w:rsid w:val="00521416"/>
    <w:rsid w:val="0052275B"/>
    <w:rsid w:val="00523FF0"/>
    <w:rsid w:val="0052626E"/>
    <w:rsid w:val="0052708B"/>
    <w:rsid w:val="00530165"/>
    <w:rsid w:val="00532A6B"/>
    <w:rsid w:val="005443C8"/>
    <w:rsid w:val="00546941"/>
    <w:rsid w:val="0054799B"/>
    <w:rsid w:val="005514AA"/>
    <w:rsid w:val="00551EE7"/>
    <w:rsid w:val="00554325"/>
    <w:rsid w:val="00556CA9"/>
    <w:rsid w:val="00557A62"/>
    <w:rsid w:val="00561529"/>
    <w:rsid w:val="00564054"/>
    <w:rsid w:val="005645A0"/>
    <w:rsid w:val="00567401"/>
    <w:rsid w:val="00567964"/>
    <w:rsid w:val="005728E1"/>
    <w:rsid w:val="00572A15"/>
    <w:rsid w:val="00572B0D"/>
    <w:rsid w:val="00573001"/>
    <w:rsid w:val="005750BD"/>
    <w:rsid w:val="00575162"/>
    <w:rsid w:val="005751F1"/>
    <w:rsid w:val="0057565B"/>
    <w:rsid w:val="00576892"/>
    <w:rsid w:val="00577154"/>
    <w:rsid w:val="005815A0"/>
    <w:rsid w:val="0058160C"/>
    <w:rsid w:val="00582B5D"/>
    <w:rsid w:val="00584167"/>
    <w:rsid w:val="00586A60"/>
    <w:rsid w:val="00590F20"/>
    <w:rsid w:val="00590F4D"/>
    <w:rsid w:val="005916A9"/>
    <w:rsid w:val="00593EC4"/>
    <w:rsid w:val="00596359"/>
    <w:rsid w:val="005968DE"/>
    <w:rsid w:val="00596955"/>
    <w:rsid w:val="005972C0"/>
    <w:rsid w:val="005A1029"/>
    <w:rsid w:val="005A1496"/>
    <w:rsid w:val="005A1563"/>
    <w:rsid w:val="005A5968"/>
    <w:rsid w:val="005B1CFD"/>
    <w:rsid w:val="005B6595"/>
    <w:rsid w:val="005B6A48"/>
    <w:rsid w:val="005C0C90"/>
    <w:rsid w:val="005C23A4"/>
    <w:rsid w:val="005C31B5"/>
    <w:rsid w:val="005C3AE3"/>
    <w:rsid w:val="005C4017"/>
    <w:rsid w:val="005C4BDA"/>
    <w:rsid w:val="005C51C9"/>
    <w:rsid w:val="005C681C"/>
    <w:rsid w:val="005D0198"/>
    <w:rsid w:val="005D2F20"/>
    <w:rsid w:val="005D4AA8"/>
    <w:rsid w:val="005D6008"/>
    <w:rsid w:val="005D61EC"/>
    <w:rsid w:val="005D6A41"/>
    <w:rsid w:val="005D78D7"/>
    <w:rsid w:val="005D7916"/>
    <w:rsid w:val="005E008C"/>
    <w:rsid w:val="005E0C9F"/>
    <w:rsid w:val="005E10C0"/>
    <w:rsid w:val="005E13C2"/>
    <w:rsid w:val="005E3CA6"/>
    <w:rsid w:val="005E3FD2"/>
    <w:rsid w:val="005E4A05"/>
    <w:rsid w:val="005E702D"/>
    <w:rsid w:val="005E7CE4"/>
    <w:rsid w:val="005F1201"/>
    <w:rsid w:val="005F4AFD"/>
    <w:rsid w:val="005F609B"/>
    <w:rsid w:val="005F6BC7"/>
    <w:rsid w:val="005F7034"/>
    <w:rsid w:val="005F736F"/>
    <w:rsid w:val="0060625C"/>
    <w:rsid w:val="006062DA"/>
    <w:rsid w:val="00606757"/>
    <w:rsid w:val="00606D3E"/>
    <w:rsid w:val="00610535"/>
    <w:rsid w:val="00611C9A"/>
    <w:rsid w:val="00613F2A"/>
    <w:rsid w:val="00617045"/>
    <w:rsid w:val="00620FFC"/>
    <w:rsid w:val="00621EEE"/>
    <w:rsid w:val="0062220C"/>
    <w:rsid w:val="00626F19"/>
    <w:rsid w:val="006270C0"/>
    <w:rsid w:val="00630DA7"/>
    <w:rsid w:val="00631B64"/>
    <w:rsid w:val="006323DD"/>
    <w:rsid w:val="00632CFD"/>
    <w:rsid w:val="00635AEE"/>
    <w:rsid w:val="00635D30"/>
    <w:rsid w:val="00640119"/>
    <w:rsid w:val="00643974"/>
    <w:rsid w:val="00643B90"/>
    <w:rsid w:val="00644480"/>
    <w:rsid w:val="00653D99"/>
    <w:rsid w:val="00653E71"/>
    <w:rsid w:val="00653F8D"/>
    <w:rsid w:val="00655992"/>
    <w:rsid w:val="0065637F"/>
    <w:rsid w:val="00657753"/>
    <w:rsid w:val="0066012A"/>
    <w:rsid w:val="0066042E"/>
    <w:rsid w:val="0066172D"/>
    <w:rsid w:val="00662B03"/>
    <w:rsid w:val="00664F5B"/>
    <w:rsid w:val="0066543F"/>
    <w:rsid w:val="00666411"/>
    <w:rsid w:val="00670198"/>
    <w:rsid w:val="00671D4D"/>
    <w:rsid w:val="00672C46"/>
    <w:rsid w:val="00672EE0"/>
    <w:rsid w:val="00677110"/>
    <w:rsid w:val="00677505"/>
    <w:rsid w:val="00681085"/>
    <w:rsid w:val="006837D4"/>
    <w:rsid w:val="00686926"/>
    <w:rsid w:val="006871C3"/>
    <w:rsid w:val="00687313"/>
    <w:rsid w:val="00691080"/>
    <w:rsid w:val="006912F6"/>
    <w:rsid w:val="0069154C"/>
    <w:rsid w:val="00693B09"/>
    <w:rsid w:val="00695C02"/>
    <w:rsid w:val="00696E5D"/>
    <w:rsid w:val="006A283E"/>
    <w:rsid w:val="006A3758"/>
    <w:rsid w:val="006B009B"/>
    <w:rsid w:val="006B0C5F"/>
    <w:rsid w:val="006B1CD8"/>
    <w:rsid w:val="006B33C2"/>
    <w:rsid w:val="006B35D0"/>
    <w:rsid w:val="006B6EDD"/>
    <w:rsid w:val="006B7D40"/>
    <w:rsid w:val="006C15B6"/>
    <w:rsid w:val="006C1A3D"/>
    <w:rsid w:val="006C567B"/>
    <w:rsid w:val="006C75E4"/>
    <w:rsid w:val="006D1282"/>
    <w:rsid w:val="006D3C54"/>
    <w:rsid w:val="006D3DDF"/>
    <w:rsid w:val="006E02E8"/>
    <w:rsid w:val="006E0DCB"/>
    <w:rsid w:val="006E3D0D"/>
    <w:rsid w:val="006E6F7E"/>
    <w:rsid w:val="006F2D23"/>
    <w:rsid w:val="006F3B00"/>
    <w:rsid w:val="006F49F2"/>
    <w:rsid w:val="006F6C05"/>
    <w:rsid w:val="006F7974"/>
    <w:rsid w:val="00702F8A"/>
    <w:rsid w:val="00703B40"/>
    <w:rsid w:val="00704E35"/>
    <w:rsid w:val="0070503C"/>
    <w:rsid w:val="007103DB"/>
    <w:rsid w:val="00712D9F"/>
    <w:rsid w:val="007170EB"/>
    <w:rsid w:val="00723581"/>
    <w:rsid w:val="00723D36"/>
    <w:rsid w:val="007258B0"/>
    <w:rsid w:val="00731CB9"/>
    <w:rsid w:val="0073586F"/>
    <w:rsid w:val="00736CB3"/>
    <w:rsid w:val="00736EA3"/>
    <w:rsid w:val="007377DC"/>
    <w:rsid w:val="00737B0E"/>
    <w:rsid w:val="00737EC9"/>
    <w:rsid w:val="0074162D"/>
    <w:rsid w:val="007418F4"/>
    <w:rsid w:val="00742600"/>
    <w:rsid w:val="007453BF"/>
    <w:rsid w:val="007453ED"/>
    <w:rsid w:val="00746A14"/>
    <w:rsid w:val="0075307E"/>
    <w:rsid w:val="00754E60"/>
    <w:rsid w:val="00756589"/>
    <w:rsid w:val="00757ED5"/>
    <w:rsid w:val="0076551D"/>
    <w:rsid w:val="00767CA6"/>
    <w:rsid w:val="0077047E"/>
    <w:rsid w:val="0077343E"/>
    <w:rsid w:val="007740CD"/>
    <w:rsid w:val="007753C6"/>
    <w:rsid w:val="007754D9"/>
    <w:rsid w:val="007771DA"/>
    <w:rsid w:val="007815C0"/>
    <w:rsid w:val="007834AA"/>
    <w:rsid w:val="00785C57"/>
    <w:rsid w:val="00791CB5"/>
    <w:rsid w:val="00793947"/>
    <w:rsid w:val="007A0187"/>
    <w:rsid w:val="007A0D15"/>
    <w:rsid w:val="007A6600"/>
    <w:rsid w:val="007B105A"/>
    <w:rsid w:val="007B27FD"/>
    <w:rsid w:val="007B28DD"/>
    <w:rsid w:val="007B2C33"/>
    <w:rsid w:val="007B4065"/>
    <w:rsid w:val="007C1B9C"/>
    <w:rsid w:val="007C3104"/>
    <w:rsid w:val="007C385D"/>
    <w:rsid w:val="007C3BE1"/>
    <w:rsid w:val="007C48F8"/>
    <w:rsid w:val="007C59E8"/>
    <w:rsid w:val="007C6A08"/>
    <w:rsid w:val="007C6A81"/>
    <w:rsid w:val="007D1238"/>
    <w:rsid w:val="007D368B"/>
    <w:rsid w:val="007D4FF2"/>
    <w:rsid w:val="007D58A4"/>
    <w:rsid w:val="007D5C17"/>
    <w:rsid w:val="007E63B4"/>
    <w:rsid w:val="007F36C8"/>
    <w:rsid w:val="007F5679"/>
    <w:rsid w:val="008012CD"/>
    <w:rsid w:val="008068C7"/>
    <w:rsid w:val="0080720B"/>
    <w:rsid w:val="008079EC"/>
    <w:rsid w:val="00810867"/>
    <w:rsid w:val="00810D14"/>
    <w:rsid w:val="00811382"/>
    <w:rsid w:val="008119B3"/>
    <w:rsid w:val="008128D2"/>
    <w:rsid w:val="00812B3B"/>
    <w:rsid w:val="008163F9"/>
    <w:rsid w:val="008176A9"/>
    <w:rsid w:val="0081798D"/>
    <w:rsid w:val="00820F75"/>
    <w:rsid w:val="0082537E"/>
    <w:rsid w:val="00826BB3"/>
    <w:rsid w:val="0083172E"/>
    <w:rsid w:val="008329F5"/>
    <w:rsid w:val="00833217"/>
    <w:rsid w:val="0083421B"/>
    <w:rsid w:val="008347EA"/>
    <w:rsid w:val="00834EE7"/>
    <w:rsid w:val="00837241"/>
    <w:rsid w:val="0084144B"/>
    <w:rsid w:val="008418A5"/>
    <w:rsid w:val="008422D9"/>
    <w:rsid w:val="0084373A"/>
    <w:rsid w:val="00846FEF"/>
    <w:rsid w:val="00847671"/>
    <w:rsid w:val="00851E58"/>
    <w:rsid w:val="00853463"/>
    <w:rsid w:val="00854311"/>
    <w:rsid w:val="00855C01"/>
    <w:rsid w:val="00856448"/>
    <w:rsid w:val="008574F9"/>
    <w:rsid w:val="00862ECB"/>
    <w:rsid w:val="00870DA1"/>
    <w:rsid w:val="00871878"/>
    <w:rsid w:val="00872CBF"/>
    <w:rsid w:val="00875BA8"/>
    <w:rsid w:val="008801BD"/>
    <w:rsid w:val="00881233"/>
    <w:rsid w:val="00881BEE"/>
    <w:rsid w:val="0088479D"/>
    <w:rsid w:val="008857A6"/>
    <w:rsid w:val="00886535"/>
    <w:rsid w:val="00887379"/>
    <w:rsid w:val="0088786C"/>
    <w:rsid w:val="00887A29"/>
    <w:rsid w:val="008905F0"/>
    <w:rsid w:val="00890DB9"/>
    <w:rsid w:val="0089176F"/>
    <w:rsid w:val="008948F6"/>
    <w:rsid w:val="008A01E4"/>
    <w:rsid w:val="008A3BB9"/>
    <w:rsid w:val="008A4946"/>
    <w:rsid w:val="008A65CE"/>
    <w:rsid w:val="008A783E"/>
    <w:rsid w:val="008B00F2"/>
    <w:rsid w:val="008B51E9"/>
    <w:rsid w:val="008C13A4"/>
    <w:rsid w:val="008C1D03"/>
    <w:rsid w:val="008C461B"/>
    <w:rsid w:val="008C5C7A"/>
    <w:rsid w:val="008C64B5"/>
    <w:rsid w:val="008D0EA1"/>
    <w:rsid w:val="008D1073"/>
    <w:rsid w:val="008D1DF8"/>
    <w:rsid w:val="008D4F80"/>
    <w:rsid w:val="008E1CF7"/>
    <w:rsid w:val="008E2915"/>
    <w:rsid w:val="008E2A1D"/>
    <w:rsid w:val="008E41FD"/>
    <w:rsid w:val="008E4228"/>
    <w:rsid w:val="008E5027"/>
    <w:rsid w:val="008E5FE1"/>
    <w:rsid w:val="008E6D52"/>
    <w:rsid w:val="008F22CE"/>
    <w:rsid w:val="008F302B"/>
    <w:rsid w:val="008F3DEB"/>
    <w:rsid w:val="008F42EF"/>
    <w:rsid w:val="008F45F8"/>
    <w:rsid w:val="008F5085"/>
    <w:rsid w:val="008F6E88"/>
    <w:rsid w:val="008F79FD"/>
    <w:rsid w:val="00900DBC"/>
    <w:rsid w:val="00900F19"/>
    <w:rsid w:val="009012FF"/>
    <w:rsid w:val="00907DC0"/>
    <w:rsid w:val="009110BD"/>
    <w:rsid w:val="00911645"/>
    <w:rsid w:val="00913CE4"/>
    <w:rsid w:val="00914854"/>
    <w:rsid w:val="00915C0F"/>
    <w:rsid w:val="00916241"/>
    <w:rsid w:val="009165DD"/>
    <w:rsid w:val="00920057"/>
    <w:rsid w:val="00924B86"/>
    <w:rsid w:val="0092579E"/>
    <w:rsid w:val="00927C1A"/>
    <w:rsid w:val="00931DE5"/>
    <w:rsid w:val="0093285A"/>
    <w:rsid w:val="00933558"/>
    <w:rsid w:val="009344C8"/>
    <w:rsid w:val="00940B5A"/>
    <w:rsid w:val="00941288"/>
    <w:rsid w:val="00941756"/>
    <w:rsid w:val="0094541C"/>
    <w:rsid w:val="0094588D"/>
    <w:rsid w:val="009460E3"/>
    <w:rsid w:val="00951CED"/>
    <w:rsid w:val="009521DE"/>
    <w:rsid w:val="009537E3"/>
    <w:rsid w:val="009539D1"/>
    <w:rsid w:val="00957CD8"/>
    <w:rsid w:val="009608F5"/>
    <w:rsid w:val="00960EF3"/>
    <w:rsid w:val="00963BEF"/>
    <w:rsid w:val="00964A91"/>
    <w:rsid w:val="00966EFB"/>
    <w:rsid w:val="00974060"/>
    <w:rsid w:val="009742C4"/>
    <w:rsid w:val="00974DAD"/>
    <w:rsid w:val="009806CA"/>
    <w:rsid w:val="00982A5E"/>
    <w:rsid w:val="00982DE8"/>
    <w:rsid w:val="00983581"/>
    <w:rsid w:val="0098382B"/>
    <w:rsid w:val="00986352"/>
    <w:rsid w:val="00986529"/>
    <w:rsid w:val="00986A59"/>
    <w:rsid w:val="0098781B"/>
    <w:rsid w:val="00990C32"/>
    <w:rsid w:val="00991C6F"/>
    <w:rsid w:val="00992D0B"/>
    <w:rsid w:val="00992FA8"/>
    <w:rsid w:val="0099327C"/>
    <w:rsid w:val="00993849"/>
    <w:rsid w:val="00995483"/>
    <w:rsid w:val="009961E3"/>
    <w:rsid w:val="009962B2"/>
    <w:rsid w:val="0099660B"/>
    <w:rsid w:val="009A0016"/>
    <w:rsid w:val="009A18A0"/>
    <w:rsid w:val="009A3A99"/>
    <w:rsid w:val="009A5E82"/>
    <w:rsid w:val="009B168F"/>
    <w:rsid w:val="009B49C8"/>
    <w:rsid w:val="009B6FCA"/>
    <w:rsid w:val="009C00B2"/>
    <w:rsid w:val="009C1D90"/>
    <w:rsid w:val="009C1EFF"/>
    <w:rsid w:val="009C4CC3"/>
    <w:rsid w:val="009C53A4"/>
    <w:rsid w:val="009C6D8C"/>
    <w:rsid w:val="009C7F19"/>
    <w:rsid w:val="009D16A2"/>
    <w:rsid w:val="009D2D23"/>
    <w:rsid w:val="009D2E81"/>
    <w:rsid w:val="009D574E"/>
    <w:rsid w:val="009D5A7B"/>
    <w:rsid w:val="009D726C"/>
    <w:rsid w:val="009E0B9F"/>
    <w:rsid w:val="009E1F68"/>
    <w:rsid w:val="009E455F"/>
    <w:rsid w:val="009E5108"/>
    <w:rsid w:val="009F0E30"/>
    <w:rsid w:val="009F11E1"/>
    <w:rsid w:val="009F19C2"/>
    <w:rsid w:val="009F26D2"/>
    <w:rsid w:val="009F2DEC"/>
    <w:rsid w:val="009F3D7C"/>
    <w:rsid w:val="009F7397"/>
    <w:rsid w:val="00A000A2"/>
    <w:rsid w:val="00A01887"/>
    <w:rsid w:val="00A0200C"/>
    <w:rsid w:val="00A0573C"/>
    <w:rsid w:val="00A11AF9"/>
    <w:rsid w:val="00A12328"/>
    <w:rsid w:val="00A147AC"/>
    <w:rsid w:val="00A17740"/>
    <w:rsid w:val="00A17E79"/>
    <w:rsid w:val="00A2233A"/>
    <w:rsid w:val="00A243B7"/>
    <w:rsid w:val="00A252A5"/>
    <w:rsid w:val="00A261FF"/>
    <w:rsid w:val="00A30C39"/>
    <w:rsid w:val="00A30DB1"/>
    <w:rsid w:val="00A35EED"/>
    <w:rsid w:val="00A36AAA"/>
    <w:rsid w:val="00A3709D"/>
    <w:rsid w:val="00A37C5D"/>
    <w:rsid w:val="00A40115"/>
    <w:rsid w:val="00A4198E"/>
    <w:rsid w:val="00A43DF4"/>
    <w:rsid w:val="00A463A4"/>
    <w:rsid w:val="00A47C14"/>
    <w:rsid w:val="00A506BB"/>
    <w:rsid w:val="00A52804"/>
    <w:rsid w:val="00A52C9A"/>
    <w:rsid w:val="00A53BBE"/>
    <w:rsid w:val="00A576D1"/>
    <w:rsid w:val="00A61495"/>
    <w:rsid w:val="00A6509A"/>
    <w:rsid w:val="00A70E0B"/>
    <w:rsid w:val="00A71D13"/>
    <w:rsid w:val="00A75C54"/>
    <w:rsid w:val="00A761A1"/>
    <w:rsid w:val="00A76A68"/>
    <w:rsid w:val="00A772A0"/>
    <w:rsid w:val="00A77EC5"/>
    <w:rsid w:val="00A8012F"/>
    <w:rsid w:val="00A831A1"/>
    <w:rsid w:val="00A832B9"/>
    <w:rsid w:val="00A85898"/>
    <w:rsid w:val="00A86E46"/>
    <w:rsid w:val="00A87859"/>
    <w:rsid w:val="00A87DA4"/>
    <w:rsid w:val="00A909E4"/>
    <w:rsid w:val="00A94319"/>
    <w:rsid w:val="00A97AB7"/>
    <w:rsid w:val="00AA04BF"/>
    <w:rsid w:val="00AB0524"/>
    <w:rsid w:val="00AB05F0"/>
    <w:rsid w:val="00AB640B"/>
    <w:rsid w:val="00AB76C1"/>
    <w:rsid w:val="00AC07B4"/>
    <w:rsid w:val="00AC0E8C"/>
    <w:rsid w:val="00AC1B6C"/>
    <w:rsid w:val="00AC25B2"/>
    <w:rsid w:val="00AC5C8A"/>
    <w:rsid w:val="00AD02FC"/>
    <w:rsid w:val="00AD1B86"/>
    <w:rsid w:val="00AD25F8"/>
    <w:rsid w:val="00AD2834"/>
    <w:rsid w:val="00AD4997"/>
    <w:rsid w:val="00AD5288"/>
    <w:rsid w:val="00AD53B5"/>
    <w:rsid w:val="00AD53F2"/>
    <w:rsid w:val="00AD62FE"/>
    <w:rsid w:val="00AE197C"/>
    <w:rsid w:val="00AE4988"/>
    <w:rsid w:val="00AE51B9"/>
    <w:rsid w:val="00AE7BA2"/>
    <w:rsid w:val="00AF0389"/>
    <w:rsid w:val="00AF2C68"/>
    <w:rsid w:val="00AF4674"/>
    <w:rsid w:val="00AF520A"/>
    <w:rsid w:val="00AF59BB"/>
    <w:rsid w:val="00AF631D"/>
    <w:rsid w:val="00B06054"/>
    <w:rsid w:val="00B06965"/>
    <w:rsid w:val="00B076BA"/>
    <w:rsid w:val="00B07FD3"/>
    <w:rsid w:val="00B1105A"/>
    <w:rsid w:val="00B12DDC"/>
    <w:rsid w:val="00B1701D"/>
    <w:rsid w:val="00B20C09"/>
    <w:rsid w:val="00B25490"/>
    <w:rsid w:val="00B272DF"/>
    <w:rsid w:val="00B27B46"/>
    <w:rsid w:val="00B3446C"/>
    <w:rsid w:val="00B43D19"/>
    <w:rsid w:val="00B445A4"/>
    <w:rsid w:val="00B46825"/>
    <w:rsid w:val="00B51C28"/>
    <w:rsid w:val="00B5312E"/>
    <w:rsid w:val="00B53C33"/>
    <w:rsid w:val="00B55E8A"/>
    <w:rsid w:val="00B56618"/>
    <w:rsid w:val="00B5729E"/>
    <w:rsid w:val="00B572DC"/>
    <w:rsid w:val="00B57FB2"/>
    <w:rsid w:val="00B6273F"/>
    <w:rsid w:val="00B62FA8"/>
    <w:rsid w:val="00B6354E"/>
    <w:rsid w:val="00B63A23"/>
    <w:rsid w:val="00B63EDE"/>
    <w:rsid w:val="00B643DF"/>
    <w:rsid w:val="00B64495"/>
    <w:rsid w:val="00B647D7"/>
    <w:rsid w:val="00B6564D"/>
    <w:rsid w:val="00B67714"/>
    <w:rsid w:val="00B70F89"/>
    <w:rsid w:val="00B71E7F"/>
    <w:rsid w:val="00B72BD3"/>
    <w:rsid w:val="00B72D53"/>
    <w:rsid w:val="00B76601"/>
    <w:rsid w:val="00B768EF"/>
    <w:rsid w:val="00B80943"/>
    <w:rsid w:val="00B86260"/>
    <w:rsid w:val="00B86B43"/>
    <w:rsid w:val="00B87B9B"/>
    <w:rsid w:val="00B907A2"/>
    <w:rsid w:val="00B939E8"/>
    <w:rsid w:val="00B93CE2"/>
    <w:rsid w:val="00B94775"/>
    <w:rsid w:val="00B97392"/>
    <w:rsid w:val="00B97EEE"/>
    <w:rsid w:val="00BA0168"/>
    <w:rsid w:val="00BA0830"/>
    <w:rsid w:val="00BA2345"/>
    <w:rsid w:val="00BA49B9"/>
    <w:rsid w:val="00BA6FA5"/>
    <w:rsid w:val="00BB237F"/>
    <w:rsid w:val="00BB484C"/>
    <w:rsid w:val="00BB7A93"/>
    <w:rsid w:val="00BC35FC"/>
    <w:rsid w:val="00BC5D86"/>
    <w:rsid w:val="00BD43A0"/>
    <w:rsid w:val="00BD57E1"/>
    <w:rsid w:val="00BD62B6"/>
    <w:rsid w:val="00BD6D43"/>
    <w:rsid w:val="00BD6E70"/>
    <w:rsid w:val="00BE1918"/>
    <w:rsid w:val="00BE39FD"/>
    <w:rsid w:val="00BE5DF3"/>
    <w:rsid w:val="00BF0565"/>
    <w:rsid w:val="00BF6030"/>
    <w:rsid w:val="00BF60E0"/>
    <w:rsid w:val="00BF7448"/>
    <w:rsid w:val="00C00398"/>
    <w:rsid w:val="00C02205"/>
    <w:rsid w:val="00C027EA"/>
    <w:rsid w:val="00C05B12"/>
    <w:rsid w:val="00C10489"/>
    <w:rsid w:val="00C10BF4"/>
    <w:rsid w:val="00C11C7B"/>
    <w:rsid w:val="00C1349D"/>
    <w:rsid w:val="00C138E6"/>
    <w:rsid w:val="00C179B6"/>
    <w:rsid w:val="00C17FC5"/>
    <w:rsid w:val="00C25BCD"/>
    <w:rsid w:val="00C264B5"/>
    <w:rsid w:val="00C26B03"/>
    <w:rsid w:val="00C276AE"/>
    <w:rsid w:val="00C30D0D"/>
    <w:rsid w:val="00C32583"/>
    <w:rsid w:val="00C3275E"/>
    <w:rsid w:val="00C34054"/>
    <w:rsid w:val="00C3494A"/>
    <w:rsid w:val="00C34B5D"/>
    <w:rsid w:val="00C411BD"/>
    <w:rsid w:val="00C42A77"/>
    <w:rsid w:val="00C43D3D"/>
    <w:rsid w:val="00C44188"/>
    <w:rsid w:val="00C468AB"/>
    <w:rsid w:val="00C50AD2"/>
    <w:rsid w:val="00C51FDC"/>
    <w:rsid w:val="00C529D7"/>
    <w:rsid w:val="00C5375A"/>
    <w:rsid w:val="00C55655"/>
    <w:rsid w:val="00C57532"/>
    <w:rsid w:val="00C65DBC"/>
    <w:rsid w:val="00C7023F"/>
    <w:rsid w:val="00C70241"/>
    <w:rsid w:val="00C70802"/>
    <w:rsid w:val="00C721C4"/>
    <w:rsid w:val="00C73139"/>
    <w:rsid w:val="00C747FD"/>
    <w:rsid w:val="00C778A5"/>
    <w:rsid w:val="00C77941"/>
    <w:rsid w:val="00C8332D"/>
    <w:rsid w:val="00C85D4E"/>
    <w:rsid w:val="00C87EDA"/>
    <w:rsid w:val="00C90AD6"/>
    <w:rsid w:val="00C9712A"/>
    <w:rsid w:val="00CA156E"/>
    <w:rsid w:val="00CA20F2"/>
    <w:rsid w:val="00CA35A9"/>
    <w:rsid w:val="00CA555C"/>
    <w:rsid w:val="00CB616A"/>
    <w:rsid w:val="00CB6578"/>
    <w:rsid w:val="00CC087A"/>
    <w:rsid w:val="00CC104D"/>
    <w:rsid w:val="00CC1231"/>
    <w:rsid w:val="00CC2A3A"/>
    <w:rsid w:val="00CC45E0"/>
    <w:rsid w:val="00CD0FD4"/>
    <w:rsid w:val="00CD161C"/>
    <w:rsid w:val="00CD33B9"/>
    <w:rsid w:val="00CD5423"/>
    <w:rsid w:val="00CD749E"/>
    <w:rsid w:val="00CE1973"/>
    <w:rsid w:val="00CE20D0"/>
    <w:rsid w:val="00CE212C"/>
    <w:rsid w:val="00CE64DF"/>
    <w:rsid w:val="00CE7468"/>
    <w:rsid w:val="00CF03C0"/>
    <w:rsid w:val="00CF150E"/>
    <w:rsid w:val="00CF304E"/>
    <w:rsid w:val="00D0071D"/>
    <w:rsid w:val="00D048E2"/>
    <w:rsid w:val="00D04C8F"/>
    <w:rsid w:val="00D06309"/>
    <w:rsid w:val="00D06BDE"/>
    <w:rsid w:val="00D06C53"/>
    <w:rsid w:val="00D102C4"/>
    <w:rsid w:val="00D10CB8"/>
    <w:rsid w:val="00D12AC2"/>
    <w:rsid w:val="00D14012"/>
    <w:rsid w:val="00D17A25"/>
    <w:rsid w:val="00D22909"/>
    <w:rsid w:val="00D25915"/>
    <w:rsid w:val="00D2649E"/>
    <w:rsid w:val="00D26BF2"/>
    <w:rsid w:val="00D26C44"/>
    <w:rsid w:val="00D308B9"/>
    <w:rsid w:val="00D30D8D"/>
    <w:rsid w:val="00D31913"/>
    <w:rsid w:val="00D34108"/>
    <w:rsid w:val="00D34580"/>
    <w:rsid w:val="00D36A71"/>
    <w:rsid w:val="00D37B71"/>
    <w:rsid w:val="00D42383"/>
    <w:rsid w:val="00D4566F"/>
    <w:rsid w:val="00D479C6"/>
    <w:rsid w:val="00D515FE"/>
    <w:rsid w:val="00D5288B"/>
    <w:rsid w:val="00D54C29"/>
    <w:rsid w:val="00D603A4"/>
    <w:rsid w:val="00D6501F"/>
    <w:rsid w:val="00D65632"/>
    <w:rsid w:val="00D65921"/>
    <w:rsid w:val="00D70749"/>
    <w:rsid w:val="00D71439"/>
    <w:rsid w:val="00D735E6"/>
    <w:rsid w:val="00D80201"/>
    <w:rsid w:val="00D81557"/>
    <w:rsid w:val="00D8312B"/>
    <w:rsid w:val="00D86A69"/>
    <w:rsid w:val="00D87553"/>
    <w:rsid w:val="00D9005B"/>
    <w:rsid w:val="00D90274"/>
    <w:rsid w:val="00D910F1"/>
    <w:rsid w:val="00D94293"/>
    <w:rsid w:val="00D94817"/>
    <w:rsid w:val="00D94C25"/>
    <w:rsid w:val="00D955F5"/>
    <w:rsid w:val="00D96781"/>
    <w:rsid w:val="00DA11A0"/>
    <w:rsid w:val="00DA1592"/>
    <w:rsid w:val="00DA1EFF"/>
    <w:rsid w:val="00DA28F4"/>
    <w:rsid w:val="00DA5603"/>
    <w:rsid w:val="00DA647A"/>
    <w:rsid w:val="00DA7626"/>
    <w:rsid w:val="00DB0C36"/>
    <w:rsid w:val="00DB30CA"/>
    <w:rsid w:val="00DB76A2"/>
    <w:rsid w:val="00DC0185"/>
    <w:rsid w:val="00DC0298"/>
    <w:rsid w:val="00DC7CF1"/>
    <w:rsid w:val="00DD06C0"/>
    <w:rsid w:val="00DD0800"/>
    <w:rsid w:val="00DD1736"/>
    <w:rsid w:val="00DD2133"/>
    <w:rsid w:val="00DD3C36"/>
    <w:rsid w:val="00DE3EE4"/>
    <w:rsid w:val="00DE4F93"/>
    <w:rsid w:val="00DE56C5"/>
    <w:rsid w:val="00DE63A1"/>
    <w:rsid w:val="00DE63F1"/>
    <w:rsid w:val="00DE75FD"/>
    <w:rsid w:val="00DE7911"/>
    <w:rsid w:val="00DF274A"/>
    <w:rsid w:val="00DF3ABD"/>
    <w:rsid w:val="00DF4132"/>
    <w:rsid w:val="00DF595F"/>
    <w:rsid w:val="00E01A76"/>
    <w:rsid w:val="00E02AF6"/>
    <w:rsid w:val="00E03A29"/>
    <w:rsid w:val="00E043C2"/>
    <w:rsid w:val="00E0478D"/>
    <w:rsid w:val="00E0760C"/>
    <w:rsid w:val="00E1026A"/>
    <w:rsid w:val="00E11E29"/>
    <w:rsid w:val="00E12C02"/>
    <w:rsid w:val="00E15941"/>
    <w:rsid w:val="00E248F9"/>
    <w:rsid w:val="00E30C6F"/>
    <w:rsid w:val="00E30DAC"/>
    <w:rsid w:val="00E3133B"/>
    <w:rsid w:val="00E32A7B"/>
    <w:rsid w:val="00E40F74"/>
    <w:rsid w:val="00E40F7E"/>
    <w:rsid w:val="00E430C0"/>
    <w:rsid w:val="00E43E83"/>
    <w:rsid w:val="00E44F36"/>
    <w:rsid w:val="00E4519C"/>
    <w:rsid w:val="00E45513"/>
    <w:rsid w:val="00E457DF"/>
    <w:rsid w:val="00E45E98"/>
    <w:rsid w:val="00E464D3"/>
    <w:rsid w:val="00E465BB"/>
    <w:rsid w:val="00E4736A"/>
    <w:rsid w:val="00E50B8A"/>
    <w:rsid w:val="00E5427D"/>
    <w:rsid w:val="00E55D3B"/>
    <w:rsid w:val="00E56895"/>
    <w:rsid w:val="00E62906"/>
    <w:rsid w:val="00E63FD4"/>
    <w:rsid w:val="00E656CE"/>
    <w:rsid w:val="00E66391"/>
    <w:rsid w:val="00E6646C"/>
    <w:rsid w:val="00E72B42"/>
    <w:rsid w:val="00E74AF2"/>
    <w:rsid w:val="00E75D72"/>
    <w:rsid w:val="00E76DAD"/>
    <w:rsid w:val="00E80DB5"/>
    <w:rsid w:val="00E83091"/>
    <w:rsid w:val="00E84A5E"/>
    <w:rsid w:val="00E85066"/>
    <w:rsid w:val="00E8616F"/>
    <w:rsid w:val="00E864D3"/>
    <w:rsid w:val="00E86BDD"/>
    <w:rsid w:val="00E873C1"/>
    <w:rsid w:val="00E87F88"/>
    <w:rsid w:val="00E901B4"/>
    <w:rsid w:val="00E9035D"/>
    <w:rsid w:val="00E92668"/>
    <w:rsid w:val="00E94B3D"/>
    <w:rsid w:val="00E96039"/>
    <w:rsid w:val="00EA0165"/>
    <w:rsid w:val="00EA0F61"/>
    <w:rsid w:val="00EA2D12"/>
    <w:rsid w:val="00EA4276"/>
    <w:rsid w:val="00EA4E6E"/>
    <w:rsid w:val="00EA5DB0"/>
    <w:rsid w:val="00EA7501"/>
    <w:rsid w:val="00EA75D8"/>
    <w:rsid w:val="00EA7ECC"/>
    <w:rsid w:val="00EB2921"/>
    <w:rsid w:val="00EB35AA"/>
    <w:rsid w:val="00EB6CEA"/>
    <w:rsid w:val="00EB6E60"/>
    <w:rsid w:val="00EC004B"/>
    <w:rsid w:val="00EC0CC4"/>
    <w:rsid w:val="00EC2AB3"/>
    <w:rsid w:val="00EC6A28"/>
    <w:rsid w:val="00EC7B3F"/>
    <w:rsid w:val="00ED2E3F"/>
    <w:rsid w:val="00ED4A0F"/>
    <w:rsid w:val="00ED60A5"/>
    <w:rsid w:val="00ED6A6D"/>
    <w:rsid w:val="00ED6DC0"/>
    <w:rsid w:val="00EE135E"/>
    <w:rsid w:val="00EE351C"/>
    <w:rsid w:val="00EE42E0"/>
    <w:rsid w:val="00EE55B0"/>
    <w:rsid w:val="00EE6364"/>
    <w:rsid w:val="00EE78E2"/>
    <w:rsid w:val="00EF0EDE"/>
    <w:rsid w:val="00EF12DC"/>
    <w:rsid w:val="00EF1991"/>
    <w:rsid w:val="00EF2007"/>
    <w:rsid w:val="00EF24CE"/>
    <w:rsid w:val="00EF288E"/>
    <w:rsid w:val="00F002D3"/>
    <w:rsid w:val="00F0271B"/>
    <w:rsid w:val="00F02838"/>
    <w:rsid w:val="00F041E2"/>
    <w:rsid w:val="00F0432B"/>
    <w:rsid w:val="00F054BE"/>
    <w:rsid w:val="00F0694E"/>
    <w:rsid w:val="00F10B32"/>
    <w:rsid w:val="00F14BB1"/>
    <w:rsid w:val="00F17FE7"/>
    <w:rsid w:val="00F216AB"/>
    <w:rsid w:val="00F26E73"/>
    <w:rsid w:val="00F27022"/>
    <w:rsid w:val="00F3207D"/>
    <w:rsid w:val="00F34C84"/>
    <w:rsid w:val="00F34F1E"/>
    <w:rsid w:val="00F37E5F"/>
    <w:rsid w:val="00F4221C"/>
    <w:rsid w:val="00F42DF3"/>
    <w:rsid w:val="00F4558C"/>
    <w:rsid w:val="00F47BCB"/>
    <w:rsid w:val="00F5121A"/>
    <w:rsid w:val="00F5291D"/>
    <w:rsid w:val="00F54011"/>
    <w:rsid w:val="00F54A4A"/>
    <w:rsid w:val="00F567E6"/>
    <w:rsid w:val="00F57848"/>
    <w:rsid w:val="00F6141C"/>
    <w:rsid w:val="00F631BF"/>
    <w:rsid w:val="00F66541"/>
    <w:rsid w:val="00F73179"/>
    <w:rsid w:val="00F74456"/>
    <w:rsid w:val="00F74FA9"/>
    <w:rsid w:val="00F76B8D"/>
    <w:rsid w:val="00F80948"/>
    <w:rsid w:val="00F81980"/>
    <w:rsid w:val="00F833BD"/>
    <w:rsid w:val="00F83488"/>
    <w:rsid w:val="00F84227"/>
    <w:rsid w:val="00F85752"/>
    <w:rsid w:val="00F866B0"/>
    <w:rsid w:val="00F87F32"/>
    <w:rsid w:val="00F92E19"/>
    <w:rsid w:val="00F93AD9"/>
    <w:rsid w:val="00F94134"/>
    <w:rsid w:val="00F942D1"/>
    <w:rsid w:val="00F96CBE"/>
    <w:rsid w:val="00F97493"/>
    <w:rsid w:val="00FA5745"/>
    <w:rsid w:val="00FA582E"/>
    <w:rsid w:val="00FA69D7"/>
    <w:rsid w:val="00FB300E"/>
    <w:rsid w:val="00FB32AF"/>
    <w:rsid w:val="00FB3DEB"/>
    <w:rsid w:val="00FB4FBD"/>
    <w:rsid w:val="00FB581C"/>
    <w:rsid w:val="00FB5C4E"/>
    <w:rsid w:val="00FB6B22"/>
    <w:rsid w:val="00FC18F6"/>
    <w:rsid w:val="00FC24B2"/>
    <w:rsid w:val="00FC7283"/>
    <w:rsid w:val="00FD208B"/>
    <w:rsid w:val="00FD6621"/>
    <w:rsid w:val="00FD7981"/>
    <w:rsid w:val="00FE5A31"/>
    <w:rsid w:val="00FE5D92"/>
    <w:rsid w:val="00FF181E"/>
    <w:rsid w:val="00FF57B0"/>
    <w:rsid w:val="00FF7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3212]" strokecolor="none"/>
    </o:shapedefaults>
    <o:shapelayout v:ext="edit">
      <o:idmap v:ext="edit" data="1"/>
      <o:rules v:ext="edit">
        <o:r id="V:Rule3" type="connector" idref="#_x0000_s1030"/>
        <o:r id="V:Rule4" type="connector" idref="#_x0000_s1087"/>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94F"/>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272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C67AF"/>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nhideWhenUsed/>
    <w:qFormat/>
    <w:rsid w:val="004272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B27F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16759"/>
    <w:pPr>
      <w:spacing w:before="240" w:after="60" w:line="276" w:lineRule="auto"/>
      <w:ind w:left="1008" w:hanging="1008"/>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316759"/>
    <w:pPr>
      <w:spacing w:before="240" w:after="60" w:line="276" w:lineRule="auto"/>
      <w:ind w:left="1152" w:hanging="1152"/>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316759"/>
    <w:pPr>
      <w:spacing w:before="240" w:after="60" w:line="276" w:lineRule="auto"/>
      <w:ind w:left="1296" w:hanging="1296"/>
      <w:outlineLvl w:val="6"/>
    </w:pPr>
    <w:rPr>
      <w:rFonts w:ascii="Calibri" w:hAnsi="Calibri"/>
    </w:rPr>
  </w:style>
  <w:style w:type="paragraph" w:styleId="Heading8">
    <w:name w:val="heading 8"/>
    <w:basedOn w:val="Normal"/>
    <w:next w:val="Normal"/>
    <w:link w:val="Heading8Char"/>
    <w:uiPriority w:val="9"/>
    <w:semiHidden/>
    <w:unhideWhenUsed/>
    <w:qFormat/>
    <w:rsid w:val="00316759"/>
    <w:pPr>
      <w:spacing w:before="240" w:after="60" w:line="276" w:lineRule="auto"/>
      <w:ind w:left="1440" w:hanging="1440"/>
      <w:outlineLvl w:val="7"/>
    </w:pPr>
    <w:rPr>
      <w:rFonts w:ascii="Calibri" w:hAnsi="Calibri"/>
      <w:i/>
      <w:iCs/>
    </w:rPr>
  </w:style>
  <w:style w:type="paragraph" w:styleId="Heading9">
    <w:name w:val="heading 9"/>
    <w:basedOn w:val="Normal"/>
    <w:next w:val="Normal"/>
    <w:link w:val="Heading9Char"/>
    <w:uiPriority w:val="9"/>
    <w:semiHidden/>
    <w:unhideWhenUsed/>
    <w:qFormat/>
    <w:rsid w:val="00316759"/>
    <w:pPr>
      <w:spacing w:before="240" w:after="60" w:line="276" w:lineRule="auto"/>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2594F"/>
    <w:rPr>
      <w:color w:val="0000FF"/>
      <w:u w:val="single"/>
    </w:rPr>
  </w:style>
  <w:style w:type="paragraph" w:styleId="NoSpacing">
    <w:name w:val="No Spacing"/>
    <w:link w:val="NoSpacingChar"/>
    <w:uiPriority w:val="1"/>
    <w:qFormat/>
    <w:rsid w:val="0012594F"/>
    <w:pPr>
      <w:jc w:val="left"/>
    </w:pPr>
    <w:rPr>
      <w:rFonts w:ascii="Calibri" w:eastAsia="Calibri" w:hAnsi="Calibri" w:cs="Times New Roman"/>
    </w:rPr>
  </w:style>
  <w:style w:type="paragraph" w:styleId="BodyText3">
    <w:name w:val="Body Text 3"/>
    <w:basedOn w:val="Normal"/>
    <w:link w:val="BodyText3Char"/>
    <w:rsid w:val="00EB6E60"/>
    <w:pPr>
      <w:spacing w:after="120"/>
    </w:pPr>
    <w:rPr>
      <w:sz w:val="16"/>
      <w:szCs w:val="16"/>
    </w:rPr>
  </w:style>
  <w:style w:type="character" w:customStyle="1" w:styleId="BodyText3Char">
    <w:name w:val="Body Text 3 Char"/>
    <w:basedOn w:val="DefaultParagraphFont"/>
    <w:link w:val="BodyText3"/>
    <w:rsid w:val="00EB6E60"/>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EB6E60"/>
    <w:rPr>
      <w:rFonts w:ascii="Tahoma" w:hAnsi="Tahoma" w:cs="Tahoma"/>
      <w:sz w:val="16"/>
      <w:szCs w:val="16"/>
    </w:rPr>
  </w:style>
  <w:style w:type="character" w:customStyle="1" w:styleId="BalloonTextChar">
    <w:name w:val="Balloon Text Char"/>
    <w:basedOn w:val="DefaultParagraphFont"/>
    <w:link w:val="BalloonText"/>
    <w:uiPriority w:val="99"/>
    <w:semiHidden/>
    <w:rsid w:val="00EB6E60"/>
    <w:rPr>
      <w:rFonts w:ascii="Tahoma" w:eastAsia="Times New Roman" w:hAnsi="Tahoma" w:cs="Tahoma"/>
      <w:sz w:val="16"/>
      <w:szCs w:val="16"/>
    </w:rPr>
  </w:style>
  <w:style w:type="paragraph" w:styleId="Header">
    <w:name w:val="header"/>
    <w:basedOn w:val="Normal"/>
    <w:link w:val="HeaderChar"/>
    <w:uiPriority w:val="99"/>
    <w:unhideWhenUsed/>
    <w:rsid w:val="008905F0"/>
    <w:pPr>
      <w:tabs>
        <w:tab w:val="center" w:pos="4680"/>
        <w:tab w:val="right" w:pos="9360"/>
      </w:tabs>
    </w:pPr>
  </w:style>
  <w:style w:type="character" w:customStyle="1" w:styleId="HeaderChar">
    <w:name w:val="Header Char"/>
    <w:basedOn w:val="DefaultParagraphFont"/>
    <w:link w:val="Header"/>
    <w:uiPriority w:val="99"/>
    <w:rsid w:val="00890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05F0"/>
    <w:pPr>
      <w:tabs>
        <w:tab w:val="center" w:pos="4680"/>
        <w:tab w:val="right" w:pos="9360"/>
      </w:tabs>
    </w:pPr>
  </w:style>
  <w:style w:type="character" w:customStyle="1" w:styleId="FooterChar">
    <w:name w:val="Footer Char"/>
    <w:basedOn w:val="DefaultParagraphFont"/>
    <w:link w:val="Footer"/>
    <w:uiPriority w:val="99"/>
    <w:rsid w:val="008905F0"/>
    <w:rPr>
      <w:rFonts w:ascii="Times New Roman" w:eastAsia="Times New Roman" w:hAnsi="Times New Roman" w:cs="Times New Roman"/>
      <w:sz w:val="24"/>
      <w:szCs w:val="24"/>
    </w:rPr>
  </w:style>
  <w:style w:type="character" w:styleId="Emphasis">
    <w:name w:val="Emphasis"/>
    <w:basedOn w:val="DefaultParagraphFont"/>
    <w:uiPriority w:val="20"/>
    <w:qFormat/>
    <w:rsid w:val="00DE4F93"/>
    <w:rPr>
      <w:i/>
      <w:iCs/>
    </w:rPr>
  </w:style>
  <w:style w:type="character" w:customStyle="1" w:styleId="citation">
    <w:name w:val="citation"/>
    <w:basedOn w:val="DefaultParagraphFont"/>
    <w:rsid w:val="00DE4F93"/>
  </w:style>
  <w:style w:type="character" w:customStyle="1" w:styleId="ref-journal1">
    <w:name w:val="ref-journal1"/>
    <w:basedOn w:val="DefaultParagraphFont"/>
    <w:rsid w:val="00DE4F93"/>
    <w:rPr>
      <w:i/>
      <w:iCs/>
    </w:rPr>
  </w:style>
  <w:style w:type="character" w:customStyle="1" w:styleId="ref-vol1">
    <w:name w:val="ref-vol1"/>
    <w:basedOn w:val="DefaultParagraphFont"/>
    <w:rsid w:val="00DE4F93"/>
    <w:rPr>
      <w:b/>
      <w:bCs/>
    </w:rPr>
  </w:style>
  <w:style w:type="paragraph" w:styleId="ListParagraph">
    <w:name w:val="List Paragraph"/>
    <w:basedOn w:val="Normal"/>
    <w:uiPriority w:val="34"/>
    <w:qFormat/>
    <w:rsid w:val="00DE4F93"/>
    <w:pPr>
      <w:ind w:left="720"/>
      <w:contextualSpacing/>
    </w:pPr>
  </w:style>
  <w:style w:type="character" w:customStyle="1" w:styleId="Heading4Char">
    <w:name w:val="Heading 4 Char"/>
    <w:basedOn w:val="DefaultParagraphFont"/>
    <w:link w:val="Heading4"/>
    <w:uiPriority w:val="9"/>
    <w:rsid w:val="007B27FD"/>
    <w:rPr>
      <w:rFonts w:ascii="Times New Roman" w:eastAsia="Times New Roman" w:hAnsi="Times New Roman" w:cs="Times New Roman"/>
      <w:b/>
      <w:bCs/>
      <w:sz w:val="28"/>
      <w:szCs w:val="28"/>
    </w:rPr>
  </w:style>
  <w:style w:type="paragraph" w:styleId="Title">
    <w:name w:val="Title"/>
    <w:basedOn w:val="Normal"/>
    <w:link w:val="TitleChar"/>
    <w:uiPriority w:val="10"/>
    <w:qFormat/>
    <w:rsid w:val="007B27FD"/>
    <w:pPr>
      <w:jc w:val="center"/>
    </w:pPr>
    <w:rPr>
      <w:b/>
      <w:sz w:val="28"/>
      <w:szCs w:val="20"/>
    </w:rPr>
  </w:style>
  <w:style w:type="character" w:customStyle="1" w:styleId="TitleChar">
    <w:name w:val="Title Char"/>
    <w:basedOn w:val="DefaultParagraphFont"/>
    <w:link w:val="Title"/>
    <w:uiPriority w:val="10"/>
    <w:rsid w:val="007B27FD"/>
    <w:rPr>
      <w:rFonts w:ascii="Times New Roman" w:eastAsia="Times New Roman" w:hAnsi="Times New Roman" w:cs="Times New Roman"/>
      <w:b/>
      <w:sz w:val="28"/>
      <w:szCs w:val="20"/>
    </w:rPr>
  </w:style>
  <w:style w:type="character" w:styleId="PageNumber">
    <w:name w:val="page number"/>
    <w:basedOn w:val="DefaultParagraphFont"/>
    <w:rsid w:val="008A01E4"/>
  </w:style>
  <w:style w:type="character" w:styleId="HTMLCite">
    <w:name w:val="HTML Cite"/>
    <w:basedOn w:val="DefaultParagraphFont"/>
    <w:uiPriority w:val="99"/>
    <w:unhideWhenUsed/>
    <w:rsid w:val="009E5108"/>
    <w:rPr>
      <w:i/>
      <w:iCs/>
    </w:rPr>
  </w:style>
  <w:style w:type="character" w:styleId="Strong">
    <w:name w:val="Strong"/>
    <w:basedOn w:val="DefaultParagraphFont"/>
    <w:uiPriority w:val="22"/>
    <w:qFormat/>
    <w:rsid w:val="008D1073"/>
    <w:rPr>
      <w:b/>
      <w:bCs/>
    </w:rPr>
  </w:style>
  <w:style w:type="character" w:customStyle="1" w:styleId="NoSpacingChar">
    <w:name w:val="No Spacing Char"/>
    <w:basedOn w:val="DefaultParagraphFont"/>
    <w:link w:val="NoSpacing"/>
    <w:uiPriority w:val="1"/>
    <w:rsid w:val="00B56618"/>
    <w:rPr>
      <w:rFonts w:ascii="Calibri" w:eastAsia="Calibri" w:hAnsi="Calibri" w:cs="Times New Roman"/>
    </w:rPr>
  </w:style>
  <w:style w:type="table" w:styleId="TableGrid">
    <w:name w:val="Table Grid"/>
    <w:basedOn w:val="TableNormal"/>
    <w:uiPriority w:val="59"/>
    <w:rsid w:val="000E7B2E"/>
    <w:pPr>
      <w:jc w:val="lef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E457DF"/>
    <w:pPr>
      <w:spacing w:after="120" w:line="480" w:lineRule="auto"/>
    </w:pPr>
  </w:style>
  <w:style w:type="character" w:customStyle="1" w:styleId="BodyText2Char">
    <w:name w:val="Body Text 2 Char"/>
    <w:basedOn w:val="DefaultParagraphFont"/>
    <w:link w:val="BodyText2"/>
    <w:uiPriority w:val="99"/>
    <w:rsid w:val="00E457DF"/>
    <w:rPr>
      <w:rFonts w:ascii="Times New Roman" w:eastAsia="Times New Roman" w:hAnsi="Times New Roman" w:cs="Times New Roman"/>
      <w:sz w:val="24"/>
      <w:szCs w:val="24"/>
    </w:rPr>
  </w:style>
  <w:style w:type="paragraph" w:customStyle="1" w:styleId="Standardowy">
    <w:name w:val="Standardowy"/>
    <w:basedOn w:val="Normal"/>
    <w:next w:val="Normal"/>
    <w:uiPriority w:val="99"/>
    <w:rsid w:val="00E457DF"/>
    <w:pPr>
      <w:autoSpaceDE w:val="0"/>
      <w:autoSpaceDN w:val="0"/>
      <w:adjustRightInd w:val="0"/>
    </w:pPr>
    <w:rPr>
      <w:rFonts w:ascii="BAIHOO+TimesNewRoman,Bold" w:eastAsia="Calibri" w:hAnsi="BAIHOO+TimesNewRoman,Bold" w:cs="Arial"/>
    </w:rPr>
  </w:style>
  <w:style w:type="paragraph" w:customStyle="1" w:styleId="authlist">
    <w:name w:val="auth_list"/>
    <w:basedOn w:val="Normal"/>
    <w:rsid w:val="00E457DF"/>
    <w:pPr>
      <w:spacing w:before="100" w:beforeAutospacing="1" w:after="100" w:afterAutospacing="1"/>
    </w:pPr>
  </w:style>
  <w:style w:type="paragraph" w:styleId="BodyText">
    <w:name w:val="Body Text"/>
    <w:basedOn w:val="Normal"/>
    <w:link w:val="BodyTextChar"/>
    <w:uiPriority w:val="99"/>
    <w:unhideWhenUsed/>
    <w:rsid w:val="004055A8"/>
    <w:pPr>
      <w:spacing w:after="120"/>
    </w:pPr>
  </w:style>
  <w:style w:type="character" w:customStyle="1" w:styleId="BodyTextChar">
    <w:name w:val="Body Text Char"/>
    <w:basedOn w:val="DefaultParagraphFont"/>
    <w:link w:val="BodyText"/>
    <w:uiPriority w:val="99"/>
    <w:rsid w:val="004055A8"/>
    <w:rPr>
      <w:rFonts w:ascii="Times New Roman" w:eastAsia="Times New Roman" w:hAnsi="Times New Roman" w:cs="Times New Roman"/>
      <w:sz w:val="24"/>
      <w:szCs w:val="24"/>
    </w:rPr>
  </w:style>
  <w:style w:type="character" w:customStyle="1" w:styleId="A7">
    <w:name w:val="A7"/>
    <w:uiPriority w:val="99"/>
    <w:rsid w:val="00A87859"/>
    <w:rPr>
      <w:rFonts w:cs="UWEZXC+HelveticaNeue-Light"/>
      <w:color w:val="000000"/>
      <w:sz w:val="10"/>
      <w:szCs w:val="10"/>
    </w:rPr>
  </w:style>
  <w:style w:type="paragraph" w:customStyle="1" w:styleId="Pa2">
    <w:name w:val="Pa2"/>
    <w:basedOn w:val="Normal"/>
    <w:next w:val="Normal"/>
    <w:uiPriority w:val="99"/>
    <w:rsid w:val="000D0FD7"/>
    <w:pPr>
      <w:autoSpaceDE w:val="0"/>
      <w:autoSpaceDN w:val="0"/>
      <w:adjustRightInd w:val="0"/>
      <w:spacing w:line="171" w:lineRule="atLeast"/>
    </w:pPr>
    <w:rPr>
      <w:rFonts w:ascii="UWEZXC+HelveticaNeue-Light" w:eastAsia="Calibri" w:hAnsi="UWEZXC+HelveticaNeue-Light"/>
      <w:lang w:val="en-IN" w:eastAsia="en-IN"/>
    </w:rPr>
  </w:style>
  <w:style w:type="paragraph" w:styleId="NormalWeb">
    <w:name w:val="Normal (Web)"/>
    <w:basedOn w:val="Normal"/>
    <w:rsid w:val="002D318D"/>
    <w:pPr>
      <w:suppressAutoHyphens/>
      <w:spacing w:before="280" w:after="280"/>
    </w:pPr>
    <w:rPr>
      <w:lang w:eastAsia="ar-SA"/>
    </w:rPr>
  </w:style>
  <w:style w:type="character" w:customStyle="1" w:styleId="Bodytext95pt1">
    <w:name w:val="Body text + 9.5 pt1"/>
    <w:basedOn w:val="DefaultParagraphFont"/>
    <w:rsid w:val="00BB484C"/>
    <w:rPr>
      <w:spacing w:val="-10"/>
      <w:sz w:val="19"/>
      <w:szCs w:val="19"/>
      <w:shd w:val="clear" w:color="auto" w:fill="FFFFFF"/>
    </w:rPr>
  </w:style>
  <w:style w:type="character" w:customStyle="1" w:styleId="Bodytext2105pt">
    <w:name w:val="Body text (2) + 10.5 pt"/>
    <w:basedOn w:val="DefaultParagraphFont"/>
    <w:rsid w:val="00BB484C"/>
    <w:rPr>
      <w:sz w:val="21"/>
      <w:szCs w:val="21"/>
      <w:shd w:val="clear" w:color="auto" w:fill="FFFFFF"/>
    </w:rPr>
  </w:style>
  <w:style w:type="paragraph" w:customStyle="1" w:styleId="Bodytext1">
    <w:name w:val="Body text1"/>
    <w:basedOn w:val="Normal"/>
    <w:rsid w:val="00BB484C"/>
    <w:pPr>
      <w:shd w:val="clear" w:color="auto" w:fill="FFFFFF"/>
      <w:suppressAutoHyphens/>
      <w:spacing w:before="60" w:after="120" w:line="240" w:lineRule="atLeast"/>
      <w:ind w:hanging="540"/>
    </w:pPr>
    <w:rPr>
      <w:sz w:val="18"/>
      <w:szCs w:val="18"/>
      <w:lang w:eastAsia="ar-SA"/>
    </w:rPr>
  </w:style>
  <w:style w:type="character" w:customStyle="1" w:styleId="Heading1Char">
    <w:name w:val="Heading 1 Char"/>
    <w:basedOn w:val="DefaultParagraphFont"/>
    <w:link w:val="Heading1"/>
    <w:rsid w:val="0042721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42721B"/>
    <w:rPr>
      <w:rFonts w:asciiTheme="majorHAnsi" w:eastAsiaTheme="majorEastAsia" w:hAnsiTheme="majorHAnsi" w:cstheme="majorBidi"/>
      <w:b/>
      <w:bCs/>
      <w:color w:val="4F81BD" w:themeColor="accent1"/>
      <w:sz w:val="24"/>
      <w:szCs w:val="24"/>
    </w:rPr>
  </w:style>
  <w:style w:type="character" w:customStyle="1" w:styleId="WW8Num1z0">
    <w:name w:val="WW8Num1z0"/>
    <w:rsid w:val="0042721B"/>
    <w:rPr>
      <w:rFonts w:ascii="Symbol" w:hAnsi="Symbol" w:cs="Symbol"/>
    </w:rPr>
  </w:style>
  <w:style w:type="character" w:customStyle="1" w:styleId="apple-converted-space">
    <w:name w:val="apple-converted-space"/>
    <w:basedOn w:val="DefaultParagraphFont"/>
    <w:rsid w:val="0042721B"/>
  </w:style>
  <w:style w:type="character" w:customStyle="1" w:styleId="apple-style-span">
    <w:name w:val="apple-style-span"/>
    <w:basedOn w:val="DefaultParagraphFont"/>
    <w:uiPriority w:val="99"/>
    <w:rsid w:val="0042721B"/>
  </w:style>
  <w:style w:type="paragraph" w:customStyle="1" w:styleId="Headerorfooter">
    <w:name w:val="Header or footer"/>
    <w:basedOn w:val="Normal"/>
    <w:rsid w:val="005C23A4"/>
    <w:pPr>
      <w:shd w:val="clear" w:color="auto" w:fill="FFFFFF"/>
      <w:suppressAutoHyphens/>
    </w:pPr>
    <w:rPr>
      <w:sz w:val="20"/>
      <w:szCs w:val="20"/>
      <w:lang w:eastAsia="ar-SA"/>
    </w:rPr>
  </w:style>
  <w:style w:type="paragraph" w:customStyle="1" w:styleId="Index">
    <w:name w:val="Index"/>
    <w:basedOn w:val="Normal"/>
    <w:rsid w:val="006323DD"/>
    <w:pPr>
      <w:suppressLineNumbers/>
      <w:suppressAutoHyphens/>
    </w:pPr>
    <w:rPr>
      <w:rFonts w:cs="Tahoma"/>
      <w:sz w:val="20"/>
      <w:szCs w:val="20"/>
      <w:lang w:eastAsia="ar-SA"/>
    </w:rPr>
  </w:style>
  <w:style w:type="character" w:customStyle="1" w:styleId="Heading2Char">
    <w:name w:val="Heading 2 Char"/>
    <w:basedOn w:val="DefaultParagraphFont"/>
    <w:link w:val="Heading2"/>
    <w:rsid w:val="000C67AF"/>
    <w:rPr>
      <w:rFonts w:ascii="Cambria" w:eastAsia="Times New Roman" w:hAnsi="Cambria" w:cs="Times New Roman"/>
      <w:b/>
      <w:bCs/>
      <w:i/>
      <w:iCs/>
      <w:sz w:val="28"/>
      <w:szCs w:val="28"/>
    </w:rPr>
  </w:style>
  <w:style w:type="character" w:customStyle="1" w:styleId="st1">
    <w:name w:val="st1"/>
    <w:basedOn w:val="DefaultParagraphFont"/>
    <w:rsid w:val="000C67AF"/>
  </w:style>
  <w:style w:type="paragraph" w:styleId="Caption">
    <w:name w:val="caption"/>
    <w:basedOn w:val="Normal"/>
    <w:next w:val="Normal"/>
    <w:qFormat/>
    <w:rsid w:val="00281A46"/>
    <w:pPr>
      <w:spacing w:after="200" w:line="276" w:lineRule="auto"/>
    </w:pPr>
    <w:rPr>
      <w:rFonts w:ascii="Calibri" w:eastAsia="Calibri" w:hAnsi="Calibri"/>
      <w:b/>
      <w:bCs/>
      <w:sz w:val="20"/>
      <w:szCs w:val="20"/>
    </w:rPr>
  </w:style>
  <w:style w:type="paragraph" w:styleId="ListBullet">
    <w:name w:val="List Bullet"/>
    <w:basedOn w:val="Normal"/>
    <w:autoRedefine/>
    <w:semiHidden/>
    <w:rsid w:val="00075031"/>
    <w:pPr>
      <w:tabs>
        <w:tab w:val="num" w:pos="720"/>
      </w:tabs>
      <w:ind w:left="720" w:hanging="360"/>
    </w:pPr>
  </w:style>
  <w:style w:type="character" w:customStyle="1" w:styleId="st">
    <w:name w:val="st"/>
    <w:basedOn w:val="DefaultParagraphFont"/>
    <w:rsid w:val="00075031"/>
  </w:style>
  <w:style w:type="character" w:customStyle="1" w:styleId="longtextshorttext">
    <w:name w:val="long_text short_text"/>
    <w:uiPriority w:val="99"/>
    <w:rsid w:val="00161445"/>
    <w:rPr>
      <w:rFonts w:cs="Times New Roman"/>
    </w:rPr>
  </w:style>
  <w:style w:type="paragraph" w:styleId="BlockText">
    <w:name w:val="Block Text"/>
    <w:basedOn w:val="Normal"/>
    <w:rsid w:val="007A0D15"/>
    <w:pPr>
      <w:spacing w:line="360" w:lineRule="auto"/>
      <w:ind w:left="900" w:right="49" w:firstLine="516"/>
      <w:jc w:val="both"/>
    </w:pPr>
    <w:rPr>
      <w:bCs/>
      <w:lang w:val="tr-TR" w:eastAsia="tr-TR"/>
    </w:rPr>
  </w:style>
  <w:style w:type="paragraph" w:styleId="CommentText">
    <w:name w:val="annotation text"/>
    <w:basedOn w:val="Normal"/>
    <w:link w:val="CommentTextChar"/>
    <w:semiHidden/>
    <w:rsid w:val="00C42A77"/>
    <w:pPr>
      <w:bidi/>
    </w:pPr>
    <w:rPr>
      <w:sz w:val="20"/>
      <w:szCs w:val="20"/>
    </w:rPr>
  </w:style>
  <w:style w:type="character" w:customStyle="1" w:styleId="CommentTextChar">
    <w:name w:val="Comment Text Char"/>
    <w:basedOn w:val="DefaultParagraphFont"/>
    <w:link w:val="CommentText"/>
    <w:semiHidden/>
    <w:rsid w:val="00C42A77"/>
    <w:rPr>
      <w:rFonts w:ascii="Times New Roman" w:eastAsia="Times New Roman" w:hAnsi="Times New Roman" w:cs="Times New Roman"/>
      <w:sz w:val="20"/>
      <w:szCs w:val="20"/>
    </w:rPr>
  </w:style>
  <w:style w:type="paragraph" w:styleId="FootnoteText">
    <w:name w:val="footnote text"/>
    <w:basedOn w:val="Normal"/>
    <w:link w:val="FootnoteTextChar"/>
    <w:semiHidden/>
    <w:rsid w:val="009F19C2"/>
    <w:pPr>
      <w:bidi/>
    </w:pPr>
    <w:rPr>
      <w:rFonts w:cs="Yagut"/>
      <w:sz w:val="20"/>
      <w:szCs w:val="20"/>
    </w:rPr>
  </w:style>
  <w:style w:type="character" w:customStyle="1" w:styleId="FootnoteTextChar">
    <w:name w:val="Footnote Text Char"/>
    <w:basedOn w:val="DefaultParagraphFont"/>
    <w:link w:val="FootnoteText"/>
    <w:semiHidden/>
    <w:rsid w:val="009F19C2"/>
    <w:rPr>
      <w:rFonts w:ascii="Times New Roman" w:eastAsia="Times New Roman" w:hAnsi="Times New Roman" w:cs="Yagut"/>
      <w:sz w:val="20"/>
      <w:szCs w:val="20"/>
    </w:rPr>
  </w:style>
  <w:style w:type="paragraph" w:customStyle="1" w:styleId="Style">
    <w:name w:val="Style"/>
    <w:rsid w:val="000D0091"/>
    <w:pPr>
      <w:widowControl w:val="0"/>
      <w:autoSpaceDE w:val="0"/>
      <w:autoSpaceDN w:val="0"/>
      <w:adjustRightInd w:val="0"/>
      <w:jc w:val="left"/>
    </w:pPr>
    <w:rPr>
      <w:rFonts w:ascii="Times New Roman" w:eastAsia="Times New Roman" w:hAnsi="Times New Roman" w:cs="Times New Roman"/>
      <w:sz w:val="24"/>
      <w:szCs w:val="24"/>
    </w:rPr>
  </w:style>
  <w:style w:type="paragraph" w:customStyle="1" w:styleId="Normalcalibri">
    <w:name w:val="Normal + calibri"/>
    <w:basedOn w:val="Normal"/>
    <w:rsid w:val="007B28DD"/>
    <w:rPr>
      <w:b/>
    </w:rPr>
  </w:style>
  <w:style w:type="character" w:customStyle="1" w:styleId="f">
    <w:name w:val="f"/>
    <w:basedOn w:val="DefaultParagraphFont"/>
    <w:rsid w:val="007B28DD"/>
  </w:style>
  <w:style w:type="character" w:customStyle="1" w:styleId="info">
    <w:name w:val="info"/>
    <w:basedOn w:val="DefaultParagraphFont"/>
    <w:rsid w:val="003F025D"/>
  </w:style>
  <w:style w:type="character" w:customStyle="1" w:styleId="volume">
    <w:name w:val="volume"/>
    <w:basedOn w:val="DefaultParagraphFont"/>
    <w:rsid w:val="003F025D"/>
  </w:style>
  <w:style w:type="character" w:customStyle="1" w:styleId="issue">
    <w:name w:val="issue"/>
    <w:basedOn w:val="DefaultParagraphFont"/>
    <w:rsid w:val="003F025D"/>
  </w:style>
  <w:style w:type="character" w:customStyle="1" w:styleId="pages">
    <w:name w:val="pages"/>
    <w:basedOn w:val="DefaultParagraphFont"/>
    <w:rsid w:val="003F025D"/>
  </w:style>
  <w:style w:type="paragraph" w:customStyle="1" w:styleId="TitleArticle">
    <w:name w:val="TitleArticle"/>
    <w:basedOn w:val="Normal"/>
    <w:rsid w:val="00316759"/>
    <w:pPr>
      <w:spacing w:before="240" w:after="360" w:line="360" w:lineRule="auto"/>
      <w:jc w:val="center"/>
      <w:outlineLvl w:val="0"/>
    </w:pPr>
    <w:rPr>
      <w:b/>
      <w:caps/>
      <w:sz w:val="28"/>
      <w:szCs w:val="20"/>
      <w:lang w:val="ru-RU"/>
    </w:rPr>
  </w:style>
  <w:style w:type="paragraph" w:customStyle="1" w:styleId="Author">
    <w:name w:val="Author"/>
    <w:basedOn w:val="Normal"/>
    <w:rsid w:val="00316759"/>
    <w:pPr>
      <w:spacing w:before="120" w:after="120" w:line="360" w:lineRule="auto"/>
      <w:ind w:firstLine="567"/>
      <w:jc w:val="center"/>
    </w:pPr>
    <w:rPr>
      <w:b/>
      <w:sz w:val="28"/>
      <w:szCs w:val="20"/>
      <w:lang w:val="ru-RU"/>
    </w:rPr>
  </w:style>
  <w:style w:type="paragraph" w:customStyle="1" w:styleId="Address">
    <w:name w:val="Address"/>
    <w:basedOn w:val="Normal"/>
    <w:rsid w:val="00316759"/>
    <w:pPr>
      <w:spacing w:after="240"/>
      <w:ind w:firstLine="567"/>
      <w:jc w:val="center"/>
    </w:pPr>
    <w:rPr>
      <w:i/>
      <w:sz w:val="26"/>
      <w:szCs w:val="20"/>
      <w:lang w:val="ru-RU"/>
    </w:rPr>
  </w:style>
  <w:style w:type="paragraph" w:customStyle="1" w:styleId="Abstract">
    <w:name w:val="Abstract"/>
    <w:basedOn w:val="Normal"/>
    <w:rsid w:val="00316759"/>
    <w:pPr>
      <w:spacing w:before="120" w:after="120"/>
      <w:jc w:val="both"/>
    </w:pPr>
    <w:rPr>
      <w:sz w:val="20"/>
      <w:szCs w:val="20"/>
      <w:lang w:val="ru-RU"/>
    </w:rPr>
  </w:style>
  <w:style w:type="character" w:customStyle="1" w:styleId="Heading5Char">
    <w:name w:val="Heading 5 Char"/>
    <w:basedOn w:val="DefaultParagraphFont"/>
    <w:link w:val="Heading5"/>
    <w:uiPriority w:val="9"/>
    <w:semiHidden/>
    <w:rsid w:val="0031675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316759"/>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316759"/>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1675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316759"/>
    <w:rPr>
      <w:rFonts w:ascii="Cambria" w:eastAsia="Times New Roman" w:hAnsi="Cambria" w:cs="Times New Roman"/>
    </w:rPr>
  </w:style>
  <w:style w:type="paragraph" w:customStyle="1" w:styleId="MTDisplayEquation">
    <w:name w:val="MTDisplayEquation"/>
    <w:basedOn w:val="Normal"/>
    <w:next w:val="BodyLNoTab"/>
    <w:rsid w:val="00316759"/>
    <w:pPr>
      <w:tabs>
        <w:tab w:val="center" w:pos="4680"/>
        <w:tab w:val="right" w:pos="9080"/>
      </w:tabs>
      <w:spacing w:line="360" w:lineRule="auto"/>
      <w:jc w:val="both"/>
    </w:pPr>
    <w:rPr>
      <w:szCs w:val="20"/>
    </w:rPr>
  </w:style>
  <w:style w:type="paragraph" w:customStyle="1" w:styleId="EquationNoNum">
    <w:name w:val="EquationNoNum"/>
    <w:basedOn w:val="Equation"/>
    <w:rsid w:val="00316759"/>
    <w:pPr>
      <w:jc w:val="center"/>
    </w:pPr>
  </w:style>
  <w:style w:type="paragraph" w:customStyle="1" w:styleId="BodyL">
    <w:name w:val="BodyL."/>
    <w:basedOn w:val="Normal"/>
    <w:rsid w:val="00316759"/>
    <w:pPr>
      <w:spacing w:line="360" w:lineRule="auto"/>
      <w:ind w:firstLine="567"/>
      <w:jc w:val="both"/>
    </w:pPr>
    <w:rPr>
      <w:szCs w:val="20"/>
      <w:lang w:val="ru-RU"/>
    </w:rPr>
  </w:style>
  <w:style w:type="paragraph" w:customStyle="1" w:styleId="Equation">
    <w:name w:val="Equation"/>
    <w:basedOn w:val="Normal"/>
    <w:rsid w:val="00316759"/>
    <w:pPr>
      <w:tabs>
        <w:tab w:val="center" w:pos="4536"/>
        <w:tab w:val="right" w:pos="9078"/>
      </w:tabs>
      <w:overflowPunct w:val="0"/>
      <w:autoSpaceDE w:val="0"/>
      <w:autoSpaceDN w:val="0"/>
      <w:adjustRightInd w:val="0"/>
      <w:spacing w:before="120" w:after="120" w:line="360" w:lineRule="auto"/>
      <w:jc w:val="both"/>
      <w:textAlignment w:val="baseline"/>
    </w:pPr>
    <w:rPr>
      <w:noProof/>
      <w:szCs w:val="28"/>
      <w:lang w:eastAsia="de-DE"/>
    </w:rPr>
  </w:style>
  <w:style w:type="paragraph" w:customStyle="1" w:styleId="BodyNoTab">
    <w:name w:val="BodyNoTab"/>
    <w:basedOn w:val="Normal"/>
    <w:next w:val="Normal"/>
    <w:rsid w:val="00316759"/>
    <w:pPr>
      <w:tabs>
        <w:tab w:val="left" w:pos="567"/>
      </w:tabs>
      <w:spacing w:line="360" w:lineRule="auto"/>
      <w:jc w:val="both"/>
    </w:pPr>
    <w:rPr>
      <w:szCs w:val="20"/>
      <w:lang w:val="ru-RU"/>
    </w:rPr>
  </w:style>
  <w:style w:type="paragraph" w:customStyle="1" w:styleId="BodyLNoTab">
    <w:name w:val="BodyL.NoTab"/>
    <w:basedOn w:val="BodyL"/>
    <w:next w:val="BodyL"/>
    <w:rsid w:val="00316759"/>
    <w:pPr>
      <w:ind w:firstLine="0"/>
    </w:pPr>
  </w:style>
  <w:style w:type="paragraph" w:customStyle="1" w:styleId="EquationNum1">
    <w:name w:val="EquationNum+1"/>
    <w:basedOn w:val="Equation"/>
    <w:rsid w:val="00316759"/>
  </w:style>
  <w:style w:type="paragraph" w:customStyle="1" w:styleId="UDC">
    <w:name w:val="UDC"/>
    <w:basedOn w:val="Normal"/>
    <w:next w:val="TitleArticle"/>
    <w:rsid w:val="00316759"/>
    <w:pPr>
      <w:spacing w:line="360" w:lineRule="auto"/>
    </w:pPr>
    <w:rPr>
      <w:i/>
      <w:sz w:val="28"/>
      <w:szCs w:val="20"/>
      <w:lang w:val="ru-RU"/>
    </w:rPr>
  </w:style>
  <w:style w:type="character" w:customStyle="1" w:styleId="MTEquationSection">
    <w:name w:val="MTEquationSection"/>
    <w:basedOn w:val="DefaultParagraphFont"/>
    <w:rsid w:val="00316759"/>
    <w:rPr>
      <w:vanish/>
      <w:color w:val="FF0000"/>
      <w:lang w:val="en-US"/>
    </w:rPr>
  </w:style>
  <w:style w:type="table" w:customStyle="1" w:styleId="LightList1">
    <w:name w:val="Light List1"/>
    <w:basedOn w:val="TableNormal"/>
    <w:uiPriority w:val="61"/>
    <w:rsid w:val="00316759"/>
    <w:pPr>
      <w:jc w:val="left"/>
    </w:pPr>
    <w:rPr>
      <w:rFonts w:ascii="Calibri" w:eastAsia="Times New Roman" w:hAnsi="Calibri" w:cs="Times New Roman"/>
      <w:sz w:val="20"/>
      <w:szCs w:val="20"/>
      <w:lang w:val="en-IN" w:eastAsia="en-IN"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
    <w:name w:val="Light Shading1"/>
    <w:basedOn w:val="TableNormal"/>
    <w:uiPriority w:val="60"/>
    <w:rsid w:val="00316759"/>
    <w:pPr>
      <w:jc w:val="left"/>
    </w:pPr>
    <w:rPr>
      <w:rFonts w:ascii="Calibri" w:eastAsia="Calibri" w:hAnsi="Calibri" w:cs="Times New Roman"/>
      <w:color w:val="000000"/>
      <w:sz w:val="20"/>
      <w:szCs w:val="20"/>
      <w:lang w:val="en-IN" w:eastAsia="en-I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filiation">
    <w:name w:val="Affiliation"/>
    <w:rsid w:val="00B94775"/>
    <w:pPr>
      <w:jc w:val="center"/>
    </w:pPr>
    <w:rPr>
      <w:rFonts w:ascii="Times New Roman" w:eastAsia="SimSun" w:hAnsi="Times New Roman" w:cs="Times New Roman"/>
      <w:sz w:val="20"/>
      <w:szCs w:val="20"/>
    </w:rPr>
  </w:style>
  <w:style w:type="paragraph" w:customStyle="1" w:styleId="papertitle">
    <w:name w:val="paper title"/>
    <w:rsid w:val="00B94775"/>
    <w:pPr>
      <w:spacing w:after="120"/>
      <w:jc w:val="center"/>
    </w:pPr>
    <w:rPr>
      <w:rFonts w:ascii="Times New Roman" w:eastAsia="MS Mincho" w:hAnsi="Times New Roman" w:cs="Times New Roman"/>
      <w:noProof/>
      <w:sz w:val="48"/>
      <w:szCs w:val="48"/>
    </w:rPr>
  </w:style>
  <w:style w:type="paragraph" w:customStyle="1" w:styleId="abst">
    <w:name w:val="abst"/>
    <w:basedOn w:val="Normal"/>
    <w:rsid w:val="00B94775"/>
    <w:pPr>
      <w:spacing w:before="100" w:beforeAutospacing="1" w:after="100" w:afterAutospacing="1"/>
    </w:pPr>
  </w:style>
  <w:style w:type="character" w:styleId="BookTitle">
    <w:name w:val="Book Title"/>
    <w:basedOn w:val="DefaultParagraphFont"/>
    <w:uiPriority w:val="33"/>
    <w:qFormat/>
    <w:rsid w:val="00B94775"/>
    <w:rPr>
      <w:b/>
      <w:bCs/>
      <w:smallCaps/>
      <w:spacing w:val="5"/>
    </w:rPr>
  </w:style>
  <w:style w:type="character" w:customStyle="1" w:styleId="container">
    <w:name w:val="container"/>
    <w:basedOn w:val="DefaultParagraphFont"/>
    <w:rsid w:val="005B6595"/>
  </w:style>
  <w:style w:type="paragraph" w:customStyle="1" w:styleId="Style1">
    <w:name w:val="Style1"/>
    <w:basedOn w:val="BodyTextIndent3"/>
    <w:autoRedefine/>
    <w:rsid w:val="00EB2921"/>
    <w:pPr>
      <w:spacing w:line="276" w:lineRule="auto"/>
      <w:jc w:val="center"/>
    </w:pPr>
    <w:rPr>
      <w:rFonts w:ascii="Arial" w:eastAsia="Calibri" w:hAnsi="Arial" w:cs="Arial"/>
      <w:b/>
      <w:sz w:val="18"/>
      <w:szCs w:val="18"/>
      <w:lang w:val="fr-FR"/>
    </w:rPr>
  </w:style>
  <w:style w:type="paragraph" w:customStyle="1" w:styleId="SFGPauteurs">
    <w:name w:val="SFGP_auteurs"/>
    <w:basedOn w:val="Normal"/>
    <w:rsid w:val="00EB2921"/>
    <w:pPr>
      <w:spacing w:before="40" w:after="20" w:line="264" w:lineRule="auto"/>
      <w:jc w:val="center"/>
    </w:pPr>
    <w:rPr>
      <w:kern w:val="28"/>
      <w:sz w:val="20"/>
      <w:szCs w:val="20"/>
      <w:lang w:val="en-GB" w:eastAsia="es-ES"/>
    </w:rPr>
  </w:style>
  <w:style w:type="paragraph" w:styleId="BodyTextIndent3">
    <w:name w:val="Body Text Indent 3"/>
    <w:basedOn w:val="Normal"/>
    <w:link w:val="BodyTextIndent3Char"/>
    <w:uiPriority w:val="99"/>
    <w:semiHidden/>
    <w:unhideWhenUsed/>
    <w:rsid w:val="00EB292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2921"/>
    <w:rPr>
      <w:rFonts w:ascii="Times New Roman" w:eastAsia="Times New Roman" w:hAnsi="Times New Roman" w:cs="Times New Roman"/>
      <w:sz w:val="16"/>
      <w:szCs w:val="16"/>
    </w:rPr>
  </w:style>
  <w:style w:type="character" w:customStyle="1" w:styleId="longtext">
    <w:name w:val="long_text"/>
    <w:rsid w:val="00EB2921"/>
  </w:style>
  <w:style w:type="character" w:customStyle="1" w:styleId="hps">
    <w:name w:val="hps"/>
    <w:rsid w:val="0069154C"/>
  </w:style>
  <w:style w:type="character" w:customStyle="1" w:styleId="shorttext">
    <w:name w:val="short_text"/>
    <w:basedOn w:val="DefaultParagraphFont"/>
    <w:rsid w:val="00AD53F2"/>
  </w:style>
  <w:style w:type="character" w:styleId="CommentReference">
    <w:name w:val="annotation reference"/>
    <w:basedOn w:val="DefaultParagraphFont"/>
    <w:uiPriority w:val="99"/>
    <w:semiHidden/>
    <w:unhideWhenUsed/>
    <w:rsid w:val="009F0E30"/>
    <w:rPr>
      <w:sz w:val="16"/>
      <w:szCs w:val="16"/>
    </w:rPr>
  </w:style>
  <w:style w:type="paragraph" w:customStyle="1" w:styleId="Default">
    <w:name w:val="Default"/>
    <w:rsid w:val="009F0E30"/>
    <w:pPr>
      <w:autoSpaceDE w:val="0"/>
      <w:autoSpaceDN w:val="0"/>
      <w:adjustRightInd w:val="0"/>
      <w:jc w:val="left"/>
    </w:pPr>
    <w:rPr>
      <w:rFonts w:ascii="Arial" w:eastAsia="Calibri" w:hAnsi="Arial" w:cs="Arial"/>
      <w:color w:val="000000"/>
      <w:sz w:val="24"/>
      <w:szCs w:val="24"/>
      <w:lang w:bidi="fa-IR"/>
    </w:rPr>
  </w:style>
  <w:style w:type="paragraph" w:styleId="BodyTextIndent">
    <w:name w:val="Body Text Indent"/>
    <w:basedOn w:val="Normal"/>
    <w:link w:val="BodyTextIndentChar"/>
    <w:unhideWhenUsed/>
    <w:rsid w:val="004A7DCD"/>
    <w:pPr>
      <w:spacing w:after="120"/>
      <w:ind w:left="360"/>
    </w:pPr>
  </w:style>
  <w:style w:type="character" w:customStyle="1" w:styleId="BodyTextIndentChar">
    <w:name w:val="Body Text Indent Char"/>
    <w:basedOn w:val="DefaultParagraphFont"/>
    <w:link w:val="BodyTextIndent"/>
    <w:rsid w:val="004A7DCD"/>
    <w:rPr>
      <w:rFonts w:ascii="Times New Roman" w:eastAsia="Times New Roman" w:hAnsi="Times New Roman" w:cs="Times New Roman"/>
      <w:sz w:val="24"/>
      <w:szCs w:val="24"/>
    </w:rPr>
  </w:style>
  <w:style w:type="paragraph" w:customStyle="1" w:styleId="MainBody">
    <w:name w:val="Main Body"/>
    <w:basedOn w:val="BodyText"/>
    <w:rsid w:val="00EF24CE"/>
    <w:pPr>
      <w:spacing w:after="0"/>
      <w:jc w:val="both"/>
    </w:pPr>
    <w:rPr>
      <w:rFonts w:eastAsia="MS Mincho"/>
      <w:sz w:val="20"/>
      <w:szCs w:val="20"/>
      <w:lang w:eastAsia="ja-JP"/>
    </w:rPr>
  </w:style>
  <w:style w:type="paragraph" w:customStyle="1" w:styleId="Thesis">
    <w:name w:val="Thesis"/>
    <w:basedOn w:val="Normal"/>
    <w:next w:val="Thesis2"/>
    <w:link w:val="ThesisChar"/>
    <w:rsid w:val="00C70241"/>
    <w:pPr>
      <w:autoSpaceDE w:val="0"/>
      <w:autoSpaceDN w:val="0"/>
      <w:adjustRightInd w:val="0"/>
      <w:spacing w:line="360" w:lineRule="auto"/>
      <w:ind w:left="360" w:hanging="360"/>
      <w:jc w:val="both"/>
    </w:pPr>
    <w:rPr>
      <w:rFonts w:ascii="Arial" w:eastAsia="MS Mincho" w:hAnsi="Arial"/>
      <w:sz w:val="20"/>
      <w:szCs w:val="20"/>
      <w:lang w:val="en-GB" w:bidi="he-IL"/>
    </w:rPr>
  </w:style>
  <w:style w:type="paragraph" w:customStyle="1" w:styleId="Thesis2">
    <w:name w:val="Thesis2"/>
    <w:basedOn w:val="Thesis"/>
    <w:rsid w:val="00C70241"/>
    <w:pPr>
      <w:ind w:firstLine="720"/>
    </w:pPr>
  </w:style>
  <w:style w:type="character" w:customStyle="1" w:styleId="ThesisChar">
    <w:name w:val="Thesis Char"/>
    <w:basedOn w:val="DefaultParagraphFont"/>
    <w:link w:val="Thesis"/>
    <w:rsid w:val="00C70241"/>
    <w:rPr>
      <w:rFonts w:ascii="Arial" w:eastAsia="MS Mincho" w:hAnsi="Arial" w:cs="Times New Roman"/>
      <w:sz w:val="20"/>
      <w:szCs w:val="20"/>
      <w:lang w:val="en-GB" w:bidi="he-IL"/>
    </w:rPr>
  </w:style>
  <w:style w:type="paragraph" w:customStyle="1" w:styleId="TableHeading">
    <w:name w:val="Table Heading"/>
    <w:basedOn w:val="Thesis"/>
    <w:link w:val="TableHeadingChar"/>
    <w:rsid w:val="00C70241"/>
    <w:pPr>
      <w:spacing w:before="360" w:line="240" w:lineRule="auto"/>
    </w:pPr>
    <w:rPr>
      <w:bCs/>
    </w:rPr>
  </w:style>
  <w:style w:type="character" w:customStyle="1" w:styleId="TableHeadingChar">
    <w:name w:val="Table Heading Char"/>
    <w:basedOn w:val="ThesisChar"/>
    <w:link w:val="TableHeading"/>
    <w:rsid w:val="00C70241"/>
    <w:rPr>
      <w:bCs/>
    </w:rPr>
  </w:style>
  <w:style w:type="paragraph" w:customStyle="1" w:styleId="Pa227">
    <w:name w:val="Pa22+7"/>
    <w:basedOn w:val="Normal"/>
    <w:next w:val="Normal"/>
    <w:rsid w:val="00B06054"/>
    <w:pPr>
      <w:autoSpaceDE w:val="0"/>
      <w:autoSpaceDN w:val="0"/>
      <w:adjustRightInd w:val="0"/>
      <w:spacing w:line="201" w:lineRule="atLeast"/>
    </w:pPr>
    <w:rPr>
      <w:rFonts w:ascii="Minion Pro" w:hAnsi="Minion Pro"/>
    </w:rPr>
  </w:style>
</w:styles>
</file>

<file path=word/webSettings.xml><?xml version="1.0" encoding="utf-8"?>
<w:webSettings xmlns:r="http://schemas.openxmlformats.org/officeDocument/2006/relationships" xmlns:w="http://schemas.openxmlformats.org/wordprocessingml/2006/main">
  <w:divs>
    <w:div w:id="244803304">
      <w:bodyDiv w:val="1"/>
      <w:marLeft w:val="0"/>
      <w:marRight w:val="0"/>
      <w:marTop w:val="0"/>
      <w:marBottom w:val="0"/>
      <w:divBdr>
        <w:top w:val="none" w:sz="0" w:space="0" w:color="auto"/>
        <w:left w:val="none" w:sz="0" w:space="0" w:color="auto"/>
        <w:bottom w:val="none" w:sz="0" w:space="0" w:color="auto"/>
        <w:right w:val="none" w:sz="0" w:space="0" w:color="auto"/>
      </w:divBdr>
    </w:div>
    <w:div w:id="1414740751">
      <w:bodyDiv w:val="1"/>
      <w:marLeft w:val="0"/>
      <w:marRight w:val="0"/>
      <w:marTop w:val="0"/>
      <w:marBottom w:val="0"/>
      <w:divBdr>
        <w:top w:val="none" w:sz="0" w:space="0" w:color="auto"/>
        <w:left w:val="none" w:sz="0" w:space="0" w:color="auto"/>
        <w:bottom w:val="none" w:sz="0" w:space="0" w:color="auto"/>
        <w:right w:val="none" w:sz="0" w:space="0" w:color="auto"/>
      </w:divBdr>
    </w:div>
    <w:div w:id="21401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ca.in" TargetMode="External"/><Relationship Id="rId13" Type="http://schemas.openxmlformats.org/officeDocument/2006/relationships/header" Target="header3.xml"/><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0AD05-CCC9-43C7-94D4-3E767E7E8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6</Pages>
  <Words>3999</Words>
  <Characters>22797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138</cp:revision>
  <cp:lastPrinted>2012-03-29T14:30:00Z</cp:lastPrinted>
  <dcterms:created xsi:type="dcterms:W3CDTF">2012-01-13T14:17:00Z</dcterms:created>
  <dcterms:modified xsi:type="dcterms:W3CDTF">2012-11-02T12:54:00Z</dcterms:modified>
</cp:coreProperties>
</file>